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999" w:rsidRDefault="00646999" w:rsidP="00646999">
      <w:pPr>
        <w:bidi/>
        <w:spacing w:line="240" w:lineRule="auto"/>
        <w:jc w:val="center"/>
        <w:rPr>
          <w:rFonts w:ascii="Traditional Arabic" w:hAnsi="Traditional Arabic" w:cs="Traditional Arabic"/>
          <w:b/>
          <w:bCs/>
          <w:sz w:val="32"/>
          <w:szCs w:val="32"/>
        </w:rPr>
      </w:pPr>
      <w:r>
        <w:rPr>
          <w:rFonts w:ascii="Traditional Arabic" w:hAnsi="Traditional Arabic" w:cs="Traditional Arabic"/>
          <w:b/>
          <w:bCs/>
          <w:sz w:val="32"/>
          <w:szCs w:val="32"/>
          <w:rtl/>
        </w:rPr>
        <w:t>التمويل بعقد المضاربة للمنشآت الصغيرة والمتوسطة : مسألة ضمان المضارب</w:t>
      </w:r>
    </w:p>
    <w:p w:rsidR="00646999" w:rsidRDefault="00646999" w:rsidP="00646999">
      <w:pPr>
        <w:bidi/>
        <w:spacing w:line="240" w:lineRule="auto"/>
        <w:jc w:val="center"/>
        <w:rPr>
          <w:rFonts w:ascii="Traditional Arabic" w:hAnsi="Traditional Arabic" w:cs="Traditional Arabic"/>
          <w:sz w:val="32"/>
          <w:szCs w:val="32"/>
          <w:rtl/>
        </w:rPr>
      </w:pPr>
      <w:r>
        <w:rPr>
          <w:rFonts w:ascii="Traditional Arabic" w:hAnsi="Traditional Arabic" w:cs="Traditional Arabic"/>
          <w:sz w:val="32"/>
          <w:szCs w:val="32"/>
          <w:rtl/>
        </w:rPr>
        <w:t>إعداد:</w:t>
      </w:r>
    </w:p>
    <w:p w:rsidR="00646999" w:rsidRDefault="00646999" w:rsidP="00646999">
      <w:pPr>
        <w:pStyle w:val="a5"/>
        <w:bidi/>
        <w:jc w:val="center"/>
        <w:rPr>
          <w:sz w:val="28"/>
          <w:szCs w:val="28"/>
          <w:rtl/>
        </w:rPr>
      </w:pPr>
      <w:r>
        <w:rPr>
          <w:rFonts w:ascii="Traditional Arabic" w:hAnsi="Traditional Arabic" w:cs="Traditional Arabic"/>
          <w:sz w:val="28"/>
          <w:szCs w:val="28"/>
          <w:rtl/>
        </w:rPr>
        <w:t>أ.د. أشرف بن محمد هاشم</w:t>
      </w:r>
      <w:r>
        <w:rPr>
          <w:rStyle w:val="a4"/>
          <w:rFonts w:ascii="Traditional Arabic" w:hAnsi="Traditional Arabic" w:cs="Traditional Arabic"/>
          <w:sz w:val="32"/>
          <w:szCs w:val="32"/>
          <w:rtl/>
        </w:rPr>
        <w:footnoteReference w:id="3"/>
      </w:r>
      <w:r>
        <w:rPr>
          <w:rFonts w:ascii="Traditional Arabic" w:hAnsi="Traditional Arabic" w:cs="Traditional Arabic"/>
          <w:sz w:val="28"/>
          <w:szCs w:val="28"/>
          <w:rtl/>
        </w:rPr>
        <w:t>ولقمان الحكيم بن حسين</w:t>
      </w:r>
      <w:r>
        <w:rPr>
          <w:rStyle w:val="a4"/>
          <w:rFonts w:ascii="Traditional Arabic" w:hAnsi="Traditional Arabic" w:cs="Traditional Arabic"/>
          <w:sz w:val="28"/>
          <w:szCs w:val="28"/>
          <w:rtl/>
        </w:rPr>
        <w:footnoteReference w:id="4"/>
      </w:r>
      <w:bookmarkStart w:id="0" w:name="_GoBack"/>
      <w:bookmarkEnd w:id="0"/>
    </w:p>
    <w:p w:rsidR="00646999" w:rsidRDefault="00646999" w:rsidP="00646999">
      <w:pPr>
        <w:pStyle w:val="a5"/>
        <w:bidi/>
        <w:jc w:val="center"/>
        <w:rPr>
          <w:rFonts w:ascii="Traditional Arabic" w:hAnsi="Traditional Arabic" w:cs="Traditional Arabic"/>
          <w:b/>
          <w:bCs/>
          <w:sz w:val="32"/>
          <w:szCs w:val="32"/>
          <w:rtl/>
        </w:rPr>
      </w:pPr>
      <w:r>
        <w:rPr>
          <w:rFonts w:ascii="Traditional Arabic" w:hAnsi="Traditional Arabic" w:cs="Traditional Arabic"/>
          <w:b/>
          <w:bCs/>
          <w:sz w:val="32"/>
          <w:szCs w:val="32"/>
          <w:rtl/>
        </w:rPr>
        <w:t>الأكاديمية العالمية للبحوث الشرعية (إسرا) ، ماليزيا</w:t>
      </w:r>
    </w:p>
    <w:p w:rsidR="00646999" w:rsidRDefault="00646999" w:rsidP="00646999">
      <w:pPr>
        <w:bidi/>
        <w:spacing w:line="240" w:lineRule="auto"/>
        <w:rPr>
          <w:rFonts w:ascii="Traditional Arabic" w:hAnsi="Traditional Arabic" w:cs="Traditional Arabic"/>
          <w:b/>
          <w:bCs/>
          <w:sz w:val="32"/>
          <w:szCs w:val="32"/>
          <w:rtl/>
        </w:rPr>
      </w:pPr>
      <w:r>
        <w:rPr>
          <w:rFonts w:ascii="Traditional Arabic" w:hAnsi="Traditional Arabic" w:cs="Traditional Arabic"/>
          <w:b/>
          <w:bCs/>
          <w:sz w:val="32"/>
          <w:szCs w:val="32"/>
          <w:rtl/>
        </w:rPr>
        <w:t>المقدمة</w:t>
      </w:r>
    </w:p>
    <w:p w:rsidR="00646999" w:rsidRDefault="00D73043" w:rsidP="00D73043">
      <w:pPr>
        <w:bidi/>
        <w:spacing w:line="240" w:lineRule="auto"/>
        <w:rPr>
          <w:rFonts w:ascii="Traditional Arabic" w:hAnsi="Traditional Arabic" w:cs="Traditional Arabic"/>
          <w:sz w:val="32"/>
          <w:szCs w:val="32"/>
          <w:lang w:val="en-GB"/>
        </w:rPr>
      </w:pPr>
      <w:r>
        <w:rPr>
          <w:rFonts w:ascii="Traditional Arabic" w:hAnsi="Traditional Arabic" w:cs="Traditional Arabic" w:hint="cs"/>
          <w:sz w:val="32"/>
          <w:szCs w:val="32"/>
          <w:rtl/>
          <w:lang w:val="en-GB"/>
        </w:rPr>
        <w:t xml:space="preserve">قد أفرطت الصيرفة اليوم في استخدام صيغ المداينة في تمويل عملائها ، وغالبا عن </w:t>
      </w:r>
      <w:r w:rsidR="00646999">
        <w:rPr>
          <w:rFonts w:ascii="Traditional Arabic" w:hAnsi="Traditional Arabic" w:cs="Traditional Arabic"/>
          <w:sz w:val="32"/>
          <w:szCs w:val="32"/>
          <w:rtl/>
          <w:lang w:val="en-GB"/>
        </w:rPr>
        <w:t>طريق بيع السلع ، وذلك مبنية على عقد التورق أو في بعض الأحيان</w:t>
      </w:r>
      <w:r>
        <w:rPr>
          <w:rFonts w:ascii="Traditional Arabic" w:hAnsi="Traditional Arabic" w:cs="Traditional Arabic" w:hint="cs"/>
          <w:sz w:val="32"/>
          <w:szCs w:val="32"/>
          <w:rtl/>
          <w:lang w:val="en-GB"/>
        </w:rPr>
        <w:t xml:space="preserve"> على</w:t>
      </w:r>
      <w:r w:rsidR="00646999">
        <w:rPr>
          <w:rFonts w:ascii="Traditional Arabic" w:hAnsi="Traditional Arabic" w:cs="Traditional Arabic"/>
          <w:sz w:val="32"/>
          <w:szCs w:val="32"/>
          <w:rtl/>
          <w:lang w:val="en-GB"/>
        </w:rPr>
        <w:t xml:space="preserve"> عقد العينة. ويرى الباحث </w:t>
      </w:r>
      <w:r>
        <w:rPr>
          <w:rFonts w:ascii="Traditional Arabic" w:hAnsi="Traditional Arabic" w:cs="Traditional Arabic" w:hint="cs"/>
          <w:sz w:val="32"/>
          <w:szCs w:val="32"/>
          <w:rtl/>
          <w:lang w:val="en-GB"/>
        </w:rPr>
        <w:t>ب</w:t>
      </w:r>
      <w:r w:rsidR="00646999">
        <w:rPr>
          <w:rFonts w:ascii="Traditional Arabic" w:hAnsi="Traditional Arabic" w:cs="Traditional Arabic"/>
          <w:sz w:val="32"/>
          <w:szCs w:val="32"/>
          <w:rtl/>
          <w:lang w:val="en-GB"/>
        </w:rPr>
        <w:t>أن العقدين وإن كانا جائزين</w:t>
      </w:r>
      <w:r w:rsidR="00646999">
        <w:rPr>
          <w:rStyle w:val="a4"/>
          <w:rFonts w:ascii="Traditional Arabic" w:hAnsi="Traditional Arabic" w:cs="Traditional Arabic"/>
          <w:sz w:val="32"/>
          <w:szCs w:val="32"/>
          <w:rtl/>
          <w:lang w:val="en-GB"/>
        </w:rPr>
        <w:footnoteReference w:id="5"/>
      </w:r>
      <w:r w:rsidR="00646999">
        <w:rPr>
          <w:rFonts w:ascii="Traditional Arabic" w:hAnsi="Traditional Arabic" w:cs="Traditional Arabic"/>
          <w:sz w:val="32"/>
          <w:szCs w:val="32"/>
          <w:rtl/>
          <w:lang w:val="en-GB"/>
        </w:rPr>
        <w:t xml:space="preserve"> فهما داخلان تحت الحيل المشروعة أو ما يسميه البعض بالمخارج</w:t>
      </w:r>
      <w:r>
        <w:rPr>
          <w:rFonts w:ascii="Traditional Arabic" w:hAnsi="Traditional Arabic" w:cs="Traditional Arabic" w:hint="cs"/>
          <w:sz w:val="32"/>
          <w:szCs w:val="32"/>
          <w:rtl/>
          <w:lang w:val="en-GB"/>
        </w:rPr>
        <w:t xml:space="preserve"> الشرعية</w:t>
      </w:r>
      <w:r w:rsidR="00646999">
        <w:rPr>
          <w:rFonts w:ascii="Traditional Arabic" w:hAnsi="Traditional Arabic" w:cs="Traditional Arabic"/>
          <w:sz w:val="32"/>
          <w:szCs w:val="32"/>
          <w:rtl/>
          <w:lang w:val="en-GB"/>
        </w:rPr>
        <w:t>. وذلك لوجود علامات الحيل فيهما  كما وض</w:t>
      </w:r>
      <w:r w:rsidR="00211F57">
        <w:rPr>
          <w:rFonts w:ascii="Traditional Arabic" w:hAnsi="Traditional Arabic" w:cs="Traditional Arabic" w:hint="cs"/>
          <w:sz w:val="32"/>
          <w:szCs w:val="32"/>
          <w:rtl/>
          <w:lang w:val="en-GB"/>
        </w:rPr>
        <w:t>َّ</w:t>
      </w:r>
      <w:r w:rsidR="00646999">
        <w:rPr>
          <w:rFonts w:ascii="Traditional Arabic" w:hAnsi="Traditional Arabic" w:cs="Traditional Arabic"/>
          <w:sz w:val="32"/>
          <w:szCs w:val="32"/>
          <w:rtl/>
          <w:lang w:val="en-GB"/>
        </w:rPr>
        <w:t>حه ابن تيمية رحمه الله: "وجماع الحيل نوعان: إما أن يضموا إلى أحد العوضين ما ليس بمقصود أو يضموا إلى العقد عقدا ليس بمقصود."</w:t>
      </w:r>
      <w:r w:rsidR="00646999">
        <w:rPr>
          <w:rStyle w:val="a4"/>
          <w:rFonts w:ascii="Traditional Arabic" w:hAnsi="Traditional Arabic" w:cs="Traditional Arabic"/>
          <w:sz w:val="32"/>
          <w:szCs w:val="32"/>
          <w:rtl/>
          <w:lang w:val="en-GB"/>
        </w:rPr>
        <w:footnoteReference w:id="6"/>
      </w:r>
      <w:r w:rsidR="00646999">
        <w:rPr>
          <w:rFonts w:ascii="Traditional Arabic" w:hAnsi="Traditional Arabic" w:cs="Traditional Arabic"/>
          <w:sz w:val="32"/>
          <w:szCs w:val="32"/>
          <w:rtl/>
          <w:lang w:val="en-GB"/>
        </w:rPr>
        <w:t xml:space="preserve"> ففي التورق، نتعامل في المبيع الذي لا يحتاج إليه البائع ولا المشتري، وأما في العينة قد تم</w:t>
      </w:r>
      <w:r w:rsidR="00B06E52">
        <w:rPr>
          <w:rFonts w:ascii="Traditional Arabic" w:hAnsi="Traditional Arabic" w:cs="Traditional Arabic" w:hint="cs"/>
          <w:sz w:val="32"/>
          <w:szCs w:val="32"/>
          <w:rtl/>
          <w:lang w:val="en-GB"/>
        </w:rPr>
        <w:t>ت</w:t>
      </w:r>
      <w:r w:rsidR="00646999">
        <w:rPr>
          <w:rFonts w:ascii="Traditional Arabic" w:hAnsi="Traditional Arabic" w:cs="Traditional Arabic"/>
          <w:sz w:val="32"/>
          <w:szCs w:val="32"/>
          <w:rtl/>
          <w:lang w:val="en-GB"/>
        </w:rPr>
        <w:t xml:space="preserve"> إضافة شرط ليس بمقصود ، وإن</w:t>
      </w:r>
      <w:r>
        <w:rPr>
          <w:rFonts w:ascii="Traditional Arabic" w:hAnsi="Traditional Arabic" w:cs="Traditional Arabic" w:hint="cs"/>
          <w:sz w:val="32"/>
          <w:szCs w:val="32"/>
          <w:rtl/>
          <w:lang w:val="en-GB"/>
        </w:rPr>
        <w:t xml:space="preserve"> وجد</w:t>
      </w:r>
      <w:r w:rsidR="00646999">
        <w:rPr>
          <w:rFonts w:ascii="Traditional Arabic" w:hAnsi="Traditional Arabic" w:cs="Traditional Arabic"/>
          <w:sz w:val="32"/>
          <w:szCs w:val="32"/>
          <w:rtl/>
          <w:lang w:val="en-GB"/>
        </w:rPr>
        <w:t xml:space="preserve"> ضمنيا ، وهو أن يبيع المشتري المبيع إلى البائع الأول. </w:t>
      </w:r>
    </w:p>
    <w:p w:rsidR="00646999" w:rsidRDefault="00646999" w:rsidP="00D73043">
      <w:pPr>
        <w:bidi/>
        <w:spacing w:line="240" w:lineRule="auto"/>
        <w:rPr>
          <w:rFonts w:ascii="Traditional Arabic" w:hAnsi="Traditional Arabic" w:cs="Traditional Arabic"/>
          <w:sz w:val="32"/>
          <w:szCs w:val="32"/>
          <w:rtl/>
          <w:lang w:val="en-GB"/>
        </w:rPr>
      </w:pPr>
      <w:r>
        <w:rPr>
          <w:rFonts w:ascii="Traditional Arabic" w:hAnsi="Traditional Arabic" w:cs="Traditional Arabic"/>
          <w:sz w:val="32"/>
          <w:szCs w:val="32"/>
          <w:rtl/>
          <w:lang w:val="en-GB"/>
        </w:rPr>
        <w:t>فننظر إلى العقد الذي يدخل تحت الحيل المشروعة كمخرج مؤقت</w:t>
      </w:r>
      <w:r>
        <w:rPr>
          <w:rStyle w:val="a4"/>
          <w:rFonts w:ascii="Traditional Arabic" w:hAnsi="Traditional Arabic" w:cs="Traditional Arabic"/>
          <w:sz w:val="32"/>
          <w:szCs w:val="32"/>
          <w:rtl/>
          <w:lang w:val="en-GB"/>
        </w:rPr>
        <w:footnoteReference w:id="7"/>
      </w:r>
      <w:r>
        <w:rPr>
          <w:rFonts w:ascii="Traditional Arabic" w:hAnsi="Traditional Arabic" w:cs="Traditional Arabic"/>
          <w:sz w:val="32"/>
          <w:szCs w:val="32"/>
          <w:rtl/>
          <w:lang w:val="en-GB"/>
        </w:rPr>
        <w:t xml:space="preserve"> يتم تطبيقه تحت ظروف معينة </w:t>
      </w:r>
      <w:r w:rsidR="00D73043">
        <w:rPr>
          <w:rFonts w:ascii="Traditional Arabic" w:hAnsi="Traditional Arabic" w:cs="Traditional Arabic" w:hint="cs"/>
          <w:sz w:val="32"/>
          <w:szCs w:val="32"/>
          <w:rtl/>
          <w:lang w:val="en-GB"/>
        </w:rPr>
        <w:t>و</w:t>
      </w:r>
      <w:r>
        <w:rPr>
          <w:rFonts w:ascii="Traditional Arabic" w:hAnsi="Traditional Arabic" w:cs="Traditional Arabic"/>
          <w:sz w:val="32"/>
          <w:szCs w:val="32"/>
          <w:rtl/>
          <w:lang w:val="en-GB"/>
        </w:rPr>
        <w:t xml:space="preserve">التي </w:t>
      </w:r>
      <w:r w:rsidR="00D73043">
        <w:rPr>
          <w:rFonts w:ascii="Traditional Arabic" w:hAnsi="Traditional Arabic" w:cs="Traditional Arabic" w:hint="cs"/>
          <w:sz w:val="32"/>
          <w:szCs w:val="32"/>
          <w:rtl/>
          <w:lang w:val="en-GB"/>
        </w:rPr>
        <w:t xml:space="preserve">قد </w:t>
      </w:r>
      <w:r>
        <w:rPr>
          <w:rFonts w:ascii="Traditional Arabic" w:hAnsi="Traditional Arabic" w:cs="Traditional Arabic"/>
          <w:sz w:val="32"/>
          <w:szCs w:val="32"/>
          <w:rtl/>
          <w:lang w:val="en-GB"/>
        </w:rPr>
        <w:t>تمنع من تطبيق العقود الخالية من</w:t>
      </w:r>
      <w:r w:rsidR="00B06E52">
        <w:rPr>
          <w:rFonts w:ascii="Traditional Arabic" w:hAnsi="Traditional Arabic" w:cs="Traditional Arabic" w:hint="cs"/>
          <w:sz w:val="32"/>
          <w:szCs w:val="32"/>
          <w:rtl/>
          <w:lang w:val="en-GB"/>
        </w:rPr>
        <w:t xml:space="preserve"> </w:t>
      </w:r>
      <w:r>
        <w:rPr>
          <w:rFonts w:ascii="Traditional Arabic" w:hAnsi="Traditional Arabic" w:cs="Traditional Arabic"/>
          <w:sz w:val="32"/>
          <w:szCs w:val="32"/>
          <w:rtl/>
          <w:lang w:val="en-GB"/>
        </w:rPr>
        <w:t xml:space="preserve">عناصر الحيل. فعلى المؤسسات المالية الإسلامية والأطراف ذات الصلة أن يبادروا </w:t>
      </w:r>
      <w:r w:rsidR="00D73043">
        <w:rPr>
          <w:rFonts w:ascii="Traditional Arabic" w:hAnsi="Traditional Arabic" w:cs="Traditional Arabic" w:hint="cs"/>
          <w:sz w:val="32"/>
          <w:szCs w:val="32"/>
          <w:rtl/>
          <w:lang w:val="en-GB"/>
        </w:rPr>
        <w:t>ب</w:t>
      </w:r>
      <w:r>
        <w:rPr>
          <w:rFonts w:ascii="Traditional Arabic" w:hAnsi="Traditional Arabic" w:cs="Traditional Arabic"/>
          <w:sz w:val="32"/>
          <w:szCs w:val="32"/>
          <w:rtl/>
          <w:lang w:val="en-GB"/>
        </w:rPr>
        <w:t>أخذ الخطوات اللازمة لإزالة المعوقات الموجودة حتى نستطيع أن نقدم</w:t>
      </w:r>
      <w:r w:rsidR="00D73043">
        <w:rPr>
          <w:rFonts w:ascii="Traditional Arabic" w:hAnsi="Traditional Arabic" w:cs="Traditional Arabic" w:hint="cs"/>
          <w:sz w:val="32"/>
          <w:szCs w:val="32"/>
          <w:rtl/>
          <w:lang w:val="en-GB"/>
        </w:rPr>
        <w:t xml:space="preserve"> منتجات تمويلية على صيغ المشاركة ك</w:t>
      </w:r>
      <w:r>
        <w:rPr>
          <w:rFonts w:ascii="Traditional Arabic" w:hAnsi="Traditional Arabic" w:cs="Traditional Arabic"/>
          <w:sz w:val="32"/>
          <w:szCs w:val="32"/>
          <w:rtl/>
          <w:lang w:val="en-GB"/>
        </w:rPr>
        <w:t>عقد المضاربة.</w:t>
      </w:r>
    </w:p>
    <w:p w:rsidR="00646999" w:rsidRDefault="00646999" w:rsidP="00B47BD9">
      <w:pPr>
        <w:bidi/>
        <w:spacing w:line="240" w:lineRule="auto"/>
        <w:rPr>
          <w:rFonts w:ascii="Traditional Arabic" w:hAnsi="Traditional Arabic" w:cs="Traditional Arabic"/>
          <w:sz w:val="32"/>
          <w:szCs w:val="32"/>
          <w:rtl/>
          <w:lang w:val="en-GB"/>
        </w:rPr>
      </w:pPr>
      <w:r>
        <w:rPr>
          <w:rFonts w:ascii="Traditional Arabic" w:hAnsi="Traditional Arabic" w:cs="Traditional Arabic"/>
          <w:sz w:val="32"/>
          <w:szCs w:val="32"/>
          <w:rtl/>
          <w:lang w:val="en-GB"/>
        </w:rPr>
        <w:t>وسيأخذ هذا البحث دراسة</w:t>
      </w:r>
      <w:r w:rsidR="00B47BD9">
        <w:rPr>
          <w:rFonts w:ascii="Traditional Arabic" w:hAnsi="Traditional Arabic" w:cs="Traditional Arabic" w:hint="cs"/>
          <w:sz w:val="32"/>
          <w:szCs w:val="32"/>
          <w:rtl/>
          <w:lang w:val="en-GB"/>
        </w:rPr>
        <w:t xml:space="preserve"> </w:t>
      </w:r>
      <w:r w:rsidR="00B47BD9">
        <w:rPr>
          <w:rFonts w:ascii="Traditional Arabic" w:hAnsi="Traditional Arabic" w:cs="Traditional Arabic"/>
          <w:sz w:val="32"/>
          <w:szCs w:val="32"/>
          <w:rtl/>
          <w:lang w:val="en-GB"/>
        </w:rPr>
        <w:t>–</w:t>
      </w:r>
      <w:r w:rsidR="00B47BD9">
        <w:rPr>
          <w:rFonts w:ascii="Traditional Arabic" w:hAnsi="Traditional Arabic" w:cs="Traditional Arabic" w:hint="cs"/>
          <w:sz w:val="32"/>
          <w:szCs w:val="32"/>
          <w:rtl/>
          <w:lang w:val="en-GB"/>
        </w:rPr>
        <w:t>كنموذج-</w:t>
      </w:r>
      <w:r>
        <w:rPr>
          <w:rFonts w:ascii="Traditional Arabic" w:hAnsi="Traditional Arabic" w:cs="Traditional Arabic"/>
          <w:sz w:val="32"/>
          <w:szCs w:val="32"/>
          <w:rtl/>
          <w:lang w:val="en-GB"/>
        </w:rPr>
        <w:t xml:space="preserve"> صنف واحد </w:t>
      </w:r>
      <w:r w:rsidR="00B47BD9">
        <w:rPr>
          <w:rFonts w:ascii="Traditional Arabic" w:hAnsi="Traditional Arabic" w:cs="Traditional Arabic" w:hint="cs"/>
          <w:sz w:val="32"/>
          <w:szCs w:val="32"/>
          <w:rtl/>
          <w:lang w:val="en-GB"/>
        </w:rPr>
        <w:t xml:space="preserve">فقط </w:t>
      </w:r>
      <w:r>
        <w:rPr>
          <w:rFonts w:ascii="Traditional Arabic" w:hAnsi="Traditional Arabic" w:cs="Traditional Arabic"/>
          <w:sz w:val="32"/>
          <w:szCs w:val="32"/>
          <w:rtl/>
          <w:lang w:val="en-GB"/>
        </w:rPr>
        <w:t xml:space="preserve">من عملاء التمويل وهو </w:t>
      </w:r>
      <w:r w:rsidR="00D73043">
        <w:rPr>
          <w:rFonts w:ascii="Traditional Arabic" w:hAnsi="Traditional Arabic" w:cs="Traditional Arabic" w:hint="cs"/>
          <w:sz w:val="32"/>
          <w:szCs w:val="32"/>
          <w:rtl/>
          <w:lang w:val="en-GB"/>
        </w:rPr>
        <w:t>ال</w:t>
      </w:r>
      <w:r>
        <w:rPr>
          <w:rFonts w:ascii="Traditional Arabic" w:hAnsi="Traditional Arabic" w:cs="Traditional Arabic"/>
          <w:sz w:val="32"/>
          <w:szCs w:val="32"/>
          <w:rtl/>
          <w:lang w:val="en-GB"/>
        </w:rPr>
        <w:t xml:space="preserve">شركات </w:t>
      </w:r>
      <w:r w:rsidR="00D73043">
        <w:rPr>
          <w:rFonts w:ascii="Traditional Arabic" w:hAnsi="Traditional Arabic" w:cs="Traditional Arabic" w:hint="cs"/>
          <w:sz w:val="32"/>
          <w:szCs w:val="32"/>
          <w:rtl/>
          <w:lang w:val="en-GB"/>
        </w:rPr>
        <w:t>ال</w:t>
      </w:r>
      <w:r>
        <w:rPr>
          <w:rFonts w:ascii="Traditional Arabic" w:hAnsi="Traditional Arabic" w:cs="Traditional Arabic"/>
          <w:sz w:val="32"/>
          <w:szCs w:val="32"/>
          <w:rtl/>
          <w:lang w:val="en-GB"/>
        </w:rPr>
        <w:t>صغيرة ومتوسطة الحجم وسننظر إلى ما هي المعوقات من تقديم التمويل إليه</w:t>
      </w:r>
      <w:r w:rsidR="00D73043">
        <w:rPr>
          <w:rFonts w:ascii="Traditional Arabic" w:hAnsi="Traditional Arabic" w:cs="Traditional Arabic" w:hint="cs"/>
          <w:sz w:val="32"/>
          <w:szCs w:val="32"/>
          <w:rtl/>
          <w:lang w:val="en-GB"/>
        </w:rPr>
        <w:t>ا</w:t>
      </w:r>
      <w:r>
        <w:rPr>
          <w:rFonts w:ascii="Traditional Arabic" w:hAnsi="Traditional Arabic" w:cs="Traditional Arabic"/>
          <w:sz w:val="32"/>
          <w:szCs w:val="32"/>
          <w:rtl/>
          <w:lang w:val="en-GB"/>
        </w:rPr>
        <w:t xml:space="preserve"> من خلال عقد المضاربة وسوف نحلل الإشكال</w:t>
      </w:r>
      <w:r w:rsidR="00B47BD9">
        <w:rPr>
          <w:rFonts w:ascii="Traditional Arabic" w:hAnsi="Traditional Arabic" w:cs="Traditional Arabic" w:hint="cs"/>
          <w:sz w:val="32"/>
          <w:szCs w:val="32"/>
          <w:rtl/>
          <w:lang w:val="en-GB"/>
        </w:rPr>
        <w:t>ات</w:t>
      </w:r>
      <w:r>
        <w:rPr>
          <w:rFonts w:ascii="Traditional Arabic" w:hAnsi="Traditional Arabic" w:cs="Traditional Arabic"/>
          <w:sz w:val="32"/>
          <w:szCs w:val="32"/>
          <w:rtl/>
          <w:lang w:val="en-GB"/>
        </w:rPr>
        <w:t xml:space="preserve"> ونقدم الاقتراحات في نهاية البحث.</w:t>
      </w:r>
    </w:p>
    <w:p w:rsidR="00646999" w:rsidRDefault="00646999" w:rsidP="00646999">
      <w:pPr>
        <w:bidi/>
        <w:rPr>
          <w:rFonts w:ascii="Traditional Arabic" w:hAnsi="Traditional Arabic" w:cs="Traditional Arabic"/>
          <w:b/>
          <w:bCs/>
          <w:sz w:val="32"/>
          <w:szCs w:val="32"/>
          <w:rtl/>
        </w:rPr>
      </w:pPr>
      <w:r>
        <w:rPr>
          <w:rFonts w:ascii="Traditional Arabic" w:hAnsi="Traditional Arabic" w:cs="Traditional Arabic"/>
          <w:b/>
          <w:bCs/>
          <w:sz w:val="32"/>
          <w:szCs w:val="32"/>
          <w:rtl/>
        </w:rPr>
        <w:lastRenderedPageBreak/>
        <w:t>تعريف وطبيعة المنشآت</w:t>
      </w:r>
      <w:r>
        <w:rPr>
          <w:rFonts w:ascii="Traditional Arabic" w:hAnsi="Traditional Arabic" w:cs="Traditional Arabic"/>
          <w:b/>
          <w:bCs/>
          <w:sz w:val="32"/>
          <w:szCs w:val="32"/>
        </w:rPr>
        <w:t xml:space="preserve"> </w:t>
      </w:r>
      <w:r>
        <w:rPr>
          <w:rFonts w:ascii="Traditional Arabic" w:hAnsi="Traditional Arabic" w:cs="Traditional Arabic"/>
          <w:b/>
          <w:bCs/>
          <w:sz w:val="32"/>
          <w:szCs w:val="32"/>
          <w:rtl/>
        </w:rPr>
        <w:t xml:space="preserve">الصغيرة والمتوسطة </w:t>
      </w:r>
    </w:p>
    <w:p w:rsidR="00646999" w:rsidRDefault="00646999" w:rsidP="00D73043">
      <w:pPr>
        <w:bidi/>
        <w:rPr>
          <w:rFonts w:ascii="Traditional Arabic" w:hAnsi="Traditional Arabic" w:cs="Traditional Arabic"/>
          <w:sz w:val="32"/>
          <w:szCs w:val="32"/>
          <w:rtl/>
        </w:rPr>
      </w:pPr>
      <w:r>
        <w:rPr>
          <w:rFonts w:ascii="Traditional Arabic" w:hAnsi="Traditional Arabic" w:cs="Traditional Arabic"/>
          <w:sz w:val="32"/>
          <w:szCs w:val="32"/>
          <w:rtl/>
          <w:lang w:val="en-GB"/>
        </w:rPr>
        <w:t xml:space="preserve">في ماليزيا ، </w:t>
      </w:r>
      <w:r>
        <w:rPr>
          <w:rFonts w:ascii="Traditional Arabic" w:hAnsi="Traditional Arabic" w:cs="Traditional Arabic"/>
          <w:sz w:val="32"/>
          <w:szCs w:val="32"/>
          <w:rtl/>
        </w:rPr>
        <w:t>قد أخذ المجلس الوطني للمنشآت الصغيرة والمتوسطة بمالي</w:t>
      </w:r>
      <w:r>
        <w:rPr>
          <w:rFonts w:ascii="Traditional Arabic" w:hAnsi="Traditional Arabic" w:cs="Traditional Arabic"/>
          <w:sz w:val="32"/>
          <w:szCs w:val="32"/>
          <w:rtl/>
          <w:lang w:val="en-GB"/>
        </w:rPr>
        <w:t>زيا</w:t>
      </w:r>
      <w:r>
        <w:rPr>
          <w:rFonts w:ascii="Traditional Arabic" w:hAnsi="Traditional Arabic" w:cs="Traditional Arabic"/>
          <w:sz w:val="32"/>
          <w:szCs w:val="32"/>
          <w:lang w:val="en-US"/>
        </w:rPr>
        <w:t>(</w:t>
      </w:r>
      <w:r>
        <w:rPr>
          <w:rFonts w:ascii="Traditional Arabic" w:hAnsi="Traditional Arabic" w:cs="Traditional Arabic"/>
          <w:sz w:val="28"/>
          <w:szCs w:val="28"/>
          <w:lang w:val="en-US"/>
        </w:rPr>
        <w:t>NSDC</w:t>
      </w:r>
      <w:r>
        <w:rPr>
          <w:rFonts w:ascii="Traditional Arabic" w:hAnsi="Traditional Arabic" w:cs="Traditional Arabic"/>
          <w:sz w:val="32"/>
          <w:szCs w:val="32"/>
          <w:lang w:val="en-US"/>
        </w:rPr>
        <w:t xml:space="preserve">) </w:t>
      </w:r>
      <w:r>
        <w:rPr>
          <w:rFonts w:ascii="Traditional Arabic" w:hAnsi="Traditional Arabic" w:cs="Traditional Arabic"/>
          <w:sz w:val="32"/>
          <w:szCs w:val="32"/>
          <w:rtl/>
        </w:rPr>
        <w:t>بعض العوامل ، من ضمنها عدد العمال ومبلغ رأس المال في تصنيف الشرك</w:t>
      </w:r>
      <w:r w:rsidR="00D73043">
        <w:rPr>
          <w:rFonts w:ascii="Traditional Arabic" w:hAnsi="Traditional Arabic" w:cs="Traditional Arabic" w:hint="cs"/>
          <w:sz w:val="32"/>
          <w:szCs w:val="32"/>
          <w:rtl/>
        </w:rPr>
        <w:t>ات</w:t>
      </w:r>
      <w:r>
        <w:rPr>
          <w:rFonts w:ascii="Traditional Arabic" w:hAnsi="Traditional Arabic" w:cs="Traditional Arabic"/>
          <w:sz w:val="32"/>
          <w:szCs w:val="32"/>
          <w:rtl/>
        </w:rPr>
        <w:t xml:space="preserve"> تحت صنف المنشآت الصغيرة والمتوسطة ، والخلاصة مبيَّنة في الجدول الآتي: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4"/>
        <w:gridCol w:w="2064"/>
        <w:gridCol w:w="2127"/>
        <w:gridCol w:w="2127"/>
      </w:tblGrid>
      <w:tr w:rsidR="00646999" w:rsidRPr="00211F57" w:rsidTr="001B6997">
        <w:tc>
          <w:tcPr>
            <w:tcW w:w="8522" w:type="dxa"/>
            <w:gridSpan w:val="4"/>
            <w:tcBorders>
              <w:top w:val="single" w:sz="4" w:space="0" w:color="auto"/>
              <w:left w:val="single" w:sz="4" w:space="0" w:color="auto"/>
              <w:bottom w:val="single" w:sz="4" w:space="0" w:color="auto"/>
              <w:right w:val="single" w:sz="4" w:space="0" w:color="auto"/>
            </w:tcBorders>
            <w:shd w:val="pct20" w:color="auto" w:fill="auto"/>
            <w:hideMark/>
          </w:tcPr>
          <w:p w:rsidR="00646999" w:rsidRPr="00211F57" w:rsidRDefault="00646999" w:rsidP="00211F57">
            <w:pPr>
              <w:bidi/>
              <w:spacing w:after="0" w:line="240" w:lineRule="auto"/>
              <w:jc w:val="center"/>
              <w:rPr>
                <w:rFonts w:ascii="Traditional Arabic" w:hAnsi="Traditional Arabic" w:cs="Traditional Arabic"/>
                <w:b/>
                <w:bCs/>
                <w:sz w:val="32"/>
                <w:szCs w:val="32"/>
                <w:lang w:val="en-GB" w:eastAsia="en-US"/>
              </w:rPr>
            </w:pPr>
            <w:r w:rsidRPr="00211F57">
              <w:rPr>
                <w:rFonts w:ascii="Traditional Arabic" w:hAnsi="Traditional Arabic" w:cs="Traditional Arabic"/>
                <w:b/>
                <w:bCs/>
                <w:sz w:val="32"/>
                <w:szCs w:val="32"/>
                <w:rtl/>
                <w:lang w:val="en-GB"/>
              </w:rPr>
              <w:t>بالنظر إلى عدد العمال</w:t>
            </w:r>
          </w:p>
        </w:tc>
      </w:tr>
      <w:tr w:rsidR="00B17981" w:rsidRPr="00211F57" w:rsidTr="001B6997">
        <w:tc>
          <w:tcPr>
            <w:tcW w:w="2204"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b/>
                <w:bCs/>
                <w:sz w:val="32"/>
                <w:szCs w:val="32"/>
                <w:lang w:eastAsia="en-US"/>
              </w:rPr>
            </w:pPr>
            <w:r w:rsidRPr="00211F57">
              <w:rPr>
                <w:rFonts w:ascii="Traditional Arabic" w:hAnsi="Traditional Arabic" w:cs="Traditional Arabic"/>
                <w:b/>
                <w:bCs/>
                <w:sz w:val="32"/>
                <w:szCs w:val="32"/>
                <w:rtl/>
              </w:rPr>
              <w:t xml:space="preserve">حجم الشركة / </w:t>
            </w:r>
            <w:r w:rsidRPr="001B6997">
              <w:rPr>
                <w:rFonts w:ascii="Traditional Arabic" w:hAnsi="Traditional Arabic" w:cs="Traditional Arabic"/>
                <w:b/>
                <w:bCs/>
                <w:sz w:val="28"/>
                <w:szCs w:val="28"/>
                <w:rtl/>
              </w:rPr>
              <w:t>القطاع</w:t>
            </w:r>
          </w:p>
        </w:tc>
        <w:tc>
          <w:tcPr>
            <w:tcW w:w="2064"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b/>
                <w:bCs/>
                <w:sz w:val="32"/>
                <w:szCs w:val="32"/>
                <w:lang w:eastAsia="en-US"/>
              </w:rPr>
            </w:pPr>
            <w:r w:rsidRPr="00211F57">
              <w:rPr>
                <w:rFonts w:ascii="Traditional Arabic" w:hAnsi="Traditional Arabic" w:cs="Traditional Arabic"/>
                <w:b/>
                <w:bCs/>
                <w:sz w:val="32"/>
                <w:szCs w:val="32"/>
                <w:rtl/>
              </w:rPr>
              <w:t>الزراعة</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b/>
                <w:bCs/>
                <w:sz w:val="32"/>
                <w:szCs w:val="32"/>
                <w:lang w:eastAsia="en-US"/>
              </w:rPr>
            </w:pPr>
            <w:r w:rsidRPr="00211F57">
              <w:rPr>
                <w:rFonts w:ascii="Traditional Arabic" w:hAnsi="Traditional Arabic" w:cs="Traditional Arabic"/>
                <w:b/>
                <w:bCs/>
                <w:sz w:val="32"/>
                <w:szCs w:val="32"/>
                <w:rtl/>
              </w:rPr>
              <w:t>الصناعة</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b/>
                <w:bCs/>
                <w:sz w:val="32"/>
                <w:szCs w:val="32"/>
                <w:lang w:eastAsia="en-US"/>
              </w:rPr>
            </w:pPr>
            <w:r w:rsidRPr="00211F57">
              <w:rPr>
                <w:rFonts w:ascii="Traditional Arabic" w:hAnsi="Traditional Arabic" w:cs="Traditional Arabic"/>
                <w:b/>
                <w:bCs/>
                <w:sz w:val="32"/>
                <w:szCs w:val="32"/>
                <w:rtl/>
              </w:rPr>
              <w:t>الخدمات</w:t>
            </w:r>
          </w:p>
        </w:tc>
      </w:tr>
      <w:tr w:rsidR="00B17981" w:rsidRPr="00211F57" w:rsidTr="001B6997">
        <w:tc>
          <w:tcPr>
            <w:tcW w:w="2204" w:type="dxa"/>
            <w:tcBorders>
              <w:top w:val="single" w:sz="4" w:space="0" w:color="auto"/>
              <w:left w:val="single" w:sz="4" w:space="0" w:color="auto"/>
              <w:bottom w:val="single" w:sz="4" w:space="0" w:color="auto"/>
              <w:right w:val="single" w:sz="4" w:space="0" w:color="auto"/>
            </w:tcBorders>
            <w:hideMark/>
          </w:tcPr>
          <w:p w:rsidR="00646999" w:rsidRPr="00211F57" w:rsidRDefault="00D73043" w:rsidP="00211F57">
            <w:pPr>
              <w:bidi/>
              <w:spacing w:after="0" w:line="240" w:lineRule="auto"/>
              <w:rPr>
                <w:rFonts w:ascii="Traditional Arabic" w:hAnsi="Traditional Arabic" w:cs="Traditional Arabic"/>
                <w:sz w:val="32"/>
                <w:szCs w:val="32"/>
                <w:lang w:val="en-US" w:eastAsia="en-US"/>
              </w:rPr>
            </w:pPr>
            <w:r>
              <w:rPr>
                <w:rFonts w:ascii="Traditional Arabic" w:hAnsi="Traditional Arabic" w:cs="Traditional Arabic" w:hint="cs"/>
                <w:sz w:val="32"/>
                <w:szCs w:val="32"/>
                <w:rtl/>
                <w:lang w:val="en-US"/>
              </w:rPr>
              <w:t>مصغّرة</w:t>
            </w:r>
            <w:r w:rsidR="00646999" w:rsidRPr="00211F57">
              <w:rPr>
                <w:rFonts w:ascii="Traditional Arabic" w:hAnsi="Traditional Arabic" w:cs="Traditional Arabic"/>
                <w:sz w:val="32"/>
                <w:szCs w:val="32"/>
                <w:lang w:val="en-US"/>
              </w:rPr>
              <w:t xml:space="preserve"> </w:t>
            </w:r>
            <w:r w:rsidR="00646999" w:rsidRPr="00895B5D">
              <w:rPr>
                <w:rFonts w:ascii="Traditional Arabic" w:hAnsi="Traditional Arabic" w:cs="Traditional Arabic"/>
                <w:sz w:val="28"/>
                <w:szCs w:val="28"/>
                <w:lang w:val="en-US"/>
              </w:rPr>
              <w:t>(Micro)</w:t>
            </w:r>
            <w:r w:rsidR="00646999" w:rsidRPr="00211F57">
              <w:rPr>
                <w:rFonts w:ascii="Traditional Arabic" w:hAnsi="Traditional Arabic" w:cs="Traditional Arabic"/>
                <w:sz w:val="32"/>
                <w:szCs w:val="32"/>
                <w:lang w:val="en-US"/>
              </w:rPr>
              <w:t xml:space="preserve"> </w:t>
            </w:r>
          </w:p>
        </w:tc>
        <w:tc>
          <w:tcPr>
            <w:tcW w:w="2064"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أقل من </w:t>
            </w:r>
            <w:r w:rsidRPr="00211F57">
              <w:rPr>
                <w:rFonts w:ascii="Traditional Arabic" w:hAnsi="Traditional Arabic" w:cs="Traditional Arabic"/>
                <w:sz w:val="28"/>
                <w:szCs w:val="28"/>
                <w:rtl/>
              </w:rPr>
              <w:t>5</w:t>
            </w:r>
            <w:r w:rsidRPr="00211F57">
              <w:rPr>
                <w:rFonts w:ascii="Traditional Arabic" w:hAnsi="Traditional Arabic" w:cs="Traditional Arabic"/>
                <w:sz w:val="32"/>
                <w:szCs w:val="32"/>
                <w:rtl/>
              </w:rPr>
              <w:t xml:space="preserve"> عمال</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أقل من </w:t>
            </w:r>
            <w:r w:rsidRPr="00211F57">
              <w:rPr>
                <w:rFonts w:ascii="Traditional Arabic" w:hAnsi="Traditional Arabic" w:cs="Traditional Arabic"/>
                <w:sz w:val="28"/>
                <w:szCs w:val="28"/>
                <w:rtl/>
              </w:rPr>
              <w:t>5</w:t>
            </w:r>
            <w:r w:rsidRPr="00211F57">
              <w:rPr>
                <w:rFonts w:ascii="Traditional Arabic" w:hAnsi="Traditional Arabic" w:cs="Traditional Arabic"/>
                <w:sz w:val="32"/>
                <w:szCs w:val="32"/>
                <w:rtl/>
              </w:rPr>
              <w:t xml:space="preserve"> عمال</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أقل من </w:t>
            </w:r>
            <w:r w:rsidRPr="00211F57">
              <w:rPr>
                <w:rFonts w:ascii="Traditional Arabic" w:hAnsi="Traditional Arabic" w:cs="Traditional Arabic"/>
                <w:sz w:val="28"/>
                <w:szCs w:val="28"/>
                <w:rtl/>
              </w:rPr>
              <w:t>5</w:t>
            </w:r>
            <w:r w:rsidRPr="00211F57">
              <w:rPr>
                <w:rFonts w:ascii="Traditional Arabic" w:hAnsi="Traditional Arabic" w:cs="Traditional Arabic"/>
                <w:sz w:val="32"/>
                <w:szCs w:val="32"/>
                <w:rtl/>
              </w:rPr>
              <w:t xml:space="preserve"> عمال</w:t>
            </w:r>
          </w:p>
        </w:tc>
      </w:tr>
      <w:tr w:rsidR="00B17981" w:rsidRPr="00211F57" w:rsidTr="001B6997">
        <w:tc>
          <w:tcPr>
            <w:tcW w:w="2204"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val="en-US" w:eastAsia="en-US"/>
              </w:rPr>
            </w:pPr>
            <w:r w:rsidRPr="00211F57">
              <w:rPr>
                <w:rFonts w:ascii="Traditional Arabic" w:hAnsi="Traditional Arabic" w:cs="Traditional Arabic"/>
                <w:sz w:val="32"/>
                <w:szCs w:val="32"/>
                <w:rtl/>
              </w:rPr>
              <w:t xml:space="preserve">صغيرة </w:t>
            </w:r>
            <w:r w:rsidRPr="00895B5D">
              <w:rPr>
                <w:rFonts w:ascii="Traditional Arabic" w:hAnsi="Traditional Arabic" w:cs="Traditional Arabic"/>
                <w:sz w:val="28"/>
                <w:szCs w:val="28"/>
                <w:lang w:val="en-US"/>
              </w:rPr>
              <w:t>(Small)</w:t>
            </w:r>
          </w:p>
        </w:tc>
        <w:tc>
          <w:tcPr>
            <w:tcW w:w="2064"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بين </w:t>
            </w:r>
            <w:r w:rsidRPr="00211F57">
              <w:rPr>
                <w:rFonts w:ascii="Traditional Arabic" w:hAnsi="Traditional Arabic" w:cs="Traditional Arabic"/>
                <w:sz w:val="28"/>
                <w:szCs w:val="28"/>
                <w:rtl/>
              </w:rPr>
              <w:t>5</w:t>
            </w:r>
            <w:r w:rsidRPr="00211F57">
              <w:rPr>
                <w:rFonts w:ascii="Traditional Arabic" w:hAnsi="Traditional Arabic" w:cs="Traditional Arabic"/>
                <w:sz w:val="32"/>
                <w:szCs w:val="32"/>
                <w:rtl/>
              </w:rPr>
              <w:t xml:space="preserve"> إلي </w:t>
            </w:r>
            <w:r w:rsidRPr="00211F57">
              <w:rPr>
                <w:rFonts w:ascii="Traditional Arabic" w:hAnsi="Traditional Arabic" w:cs="Traditional Arabic"/>
                <w:sz w:val="28"/>
                <w:szCs w:val="28"/>
                <w:rtl/>
              </w:rPr>
              <w:t>19</w:t>
            </w:r>
            <w:r w:rsidRPr="00211F57">
              <w:rPr>
                <w:rFonts w:ascii="Traditional Arabic" w:hAnsi="Traditional Arabic" w:cs="Traditional Arabic"/>
                <w:sz w:val="32"/>
                <w:szCs w:val="32"/>
                <w:rtl/>
              </w:rPr>
              <w:t xml:space="preserve"> عامل</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بين </w:t>
            </w:r>
            <w:r w:rsidRPr="00211F57">
              <w:rPr>
                <w:rFonts w:ascii="Traditional Arabic" w:hAnsi="Traditional Arabic" w:cs="Traditional Arabic"/>
                <w:sz w:val="28"/>
                <w:szCs w:val="28"/>
                <w:rtl/>
              </w:rPr>
              <w:t>5</w:t>
            </w:r>
            <w:r w:rsidRPr="00211F57">
              <w:rPr>
                <w:rFonts w:ascii="Traditional Arabic" w:hAnsi="Traditional Arabic" w:cs="Traditional Arabic"/>
                <w:sz w:val="32"/>
                <w:szCs w:val="32"/>
                <w:rtl/>
              </w:rPr>
              <w:t xml:space="preserve"> إلى </w:t>
            </w:r>
            <w:r w:rsidRPr="00211F57">
              <w:rPr>
                <w:rFonts w:ascii="Traditional Arabic" w:hAnsi="Traditional Arabic" w:cs="Traditional Arabic"/>
                <w:sz w:val="28"/>
                <w:szCs w:val="28"/>
                <w:rtl/>
              </w:rPr>
              <w:t>50</w:t>
            </w:r>
            <w:r w:rsidRPr="00211F57">
              <w:rPr>
                <w:rFonts w:ascii="Traditional Arabic" w:hAnsi="Traditional Arabic" w:cs="Traditional Arabic"/>
                <w:sz w:val="32"/>
                <w:szCs w:val="32"/>
                <w:rtl/>
              </w:rPr>
              <w:t xml:space="preserve"> عامل</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بين </w:t>
            </w:r>
            <w:r w:rsidRPr="00211F57">
              <w:rPr>
                <w:rFonts w:ascii="Traditional Arabic" w:hAnsi="Traditional Arabic" w:cs="Traditional Arabic"/>
                <w:sz w:val="28"/>
                <w:szCs w:val="28"/>
                <w:rtl/>
              </w:rPr>
              <w:t>5</w:t>
            </w:r>
            <w:r w:rsidRPr="00211F57">
              <w:rPr>
                <w:rFonts w:ascii="Traditional Arabic" w:hAnsi="Traditional Arabic" w:cs="Traditional Arabic"/>
                <w:sz w:val="32"/>
                <w:szCs w:val="32"/>
                <w:rtl/>
              </w:rPr>
              <w:t xml:space="preserve"> إلى </w:t>
            </w:r>
            <w:r w:rsidRPr="00211F57">
              <w:rPr>
                <w:rFonts w:ascii="Traditional Arabic" w:hAnsi="Traditional Arabic" w:cs="Traditional Arabic"/>
                <w:sz w:val="28"/>
                <w:szCs w:val="28"/>
                <w:rtl/>
              </w:rPr>
              <w:t>19</w:t>
            </w:r>
            <w:r w:rsidRPr="00211F57">
              <w:rPr>
                <w:rFonts w:ascii="Traditional Arabic" w:hAnsi="Traditional Arabic" w:cs="Traditional Arabic"/>
                <w:sz w:val="32"/>
                <w:szCs w:val="32"/>
                <w:rtl/>
              </w:rPr>
              <w:t xml:space="preserve"> عامل</w:t>
            </w:r>
          </w:p>
        </w:tc>
      </w:tr>
      <w:tr w:rsidR="00B17981" w:rsidRPr="00211F57" w:rsidTr="001B6997">
        <w:tc>
          <w:tcPr>
            <w:tcW w:w="2204"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val="en-US" w:eastAsia="en-US"/>
              </w:rPr>
            </w:pPr>
            <w:r w:rsidRPr="00211F57">
              <w:rPr>
                <w:rFonts w:ascii="Traditional Arabic" w:hAnsi="Traditional Arabic" w:cs="Traditional Arabic"/>
                <w:sz w:val="32"/>
                <w:szCs w:val="32"/>
                <w:rtl/>
                <w:lang w:val="en-GB"/>
              </w:rPr>
              <w:t>متوسطة</w:t>
            </w:r>
            <w:r w:rsidRPr="00211F57">
              <w:rPr>
                <w:rFonts w:ascii="Traditional Arabic" w:hAnsi="Traditional Arabic" w:cs="Traditional Arabic"/>
                <w:sz w:val="32"/>
                <w:szCs w:val="32"/>
                <w:lang w:val="en-US"/>
              </w:rPr>
              <w:t xml:space="preserve"> </w:t>
            </w:r>
            <w:r w:rsidRPr="001B6997">
              <w:rPr>
                <w:rFonts w:ascii="Traditional Arabic" w:hAnsi="Traditional Arabic" w:cs="Traditional Arabic"/>
                <w:sz w:val="28"/>
                <w:szCs w:val="28"/>
                <w:lang w:val="en-US"/>
              </w:rPr>
              <w:t>(Medium)</w:t>
            </w:r>
            <w:r w:rsidRPr="00211F57">
              <w:rPr>
                <w:rFonts w:ascii="Traditional Arabic" w:hAnsi="Traditional Arabic" w:cs="Traditional Arabic"/>
                <w:sz w:val="32"/>
                <w:szCs w:val="32"/>
                <w:lang w:val="en-US"/>
              </w:rPr>
              <w:t xml:space="preserve"> </w:t>
            </w:r>
          </w:p>
        </w:tc>
        <w:tc>
          <w:tcPr>
            <w:tcW w:w="2064"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بين </w:t>
            </w:r>
            <w:r w:rsidRPr="00211F57">
              <w:rPr>
                <w:rFonts w:ascii="Traditional Arabic" w:hAnsi="Traditional Arabic" w:cs="Traditional Arabic"/>
                <w:sz w:val="28"/>
                <w:szCs w:val="28"/>
                <w:rtl/>
              </w:rPr>
              <w:t>20</w:t>
            </w:r>
            <w:r w:rsidRPr="00211F57">
              <w:rPr>
                <w:rFonts w:ascii="Traditional Arabic" w:hAnsi="Traditional Arabic" w:cs="Traditional Arabic"/>
                <w:sz w:val="32"/>
                <w:szCs w:val="32"/>
                <w:rtl/>
              </w:rPr>
              <w:t xml:space="preserve"> إلى </w:t>
            </w:r>
            <w:r w:rsidRPr="00211F57">
              <w:rPr>
                <w:rFonts w:ascii="Traditional Arabic" w:hAnsi="Traditional Arabic" w:cs="Traditional Arabic"/>
                <w:sz w:val="28"/>
                <w:szCs w:val="28"/>
                <w:rtl/>
              </w:rPr>
              <w:t>50</w:t>
            </w:r>
            <w:r w:rsidRPr="00211F57">
              <w:rPr>
                <w:rFonts w:ascii="Traditional Arabic" w:hAnsi="Traditional Arabic" w:cs="Traditional Arabic"/>
                <w:sz w:val="32"/>
                <w:szCs w:val="32"/>
                <w:rtl/>
              </w:rPr>
              <w:t xml:space="preserve"> عامل</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بين </w:t>
            </w:r>
            <w:r w:rsidRPr="00211F57">
              <w:rPr>
                <w:rFonts w:ascii="Traditional Arabic" w:hAnsi="Traditional Arabic" w:cs="Traditional Arabic"/>
                <w:sz w:val="28"/>
                <w:szCs w:val="28"/>
                <w:rtl/>
              </w:rPr>
              <w:t>51</w:t>
            </w:r>
            <w:r w:rsidRPr="00211F57">
              <w:rPr>
                <w:rFonts w:ascii="Traditional Arabic" w:hAnsi="Traditional Arabic" w:cs="Traditional Arabic"/>
                <w:sz w:val="32"/>
                <w:szCs w:val="32"/>
                <w:rtl/>
              </w:rPr>
              <w:t xml:space="preserve"> إلى </w:t>
            </w:r>
            <w:r w:rsidRPr="00211F57">
              <w:rPr>
                <w:rFonts w:ascii="Traditional Arabic" w:hAnsi="Traditional Arabic" w:cs="Traditional Arabic"/>
                <w:sz w:val="28"/>
                <w:szCs w:val="28"/>
                <w:rtl/>
              </w:rPr>
              <w:t>150</w:t>
            </w:r>
            <w:r w:rsidRPr="00211F57">
              <w:rPr>
                <w:rFonts w:ascii="Traditional Arabic" w:hAnsi="Traditional Arabic" w:cs="Traditional Arabic"/>
                <w:sz w:val="32"/>
                <w:szCs w:val="32"/>
                <w:rtl/>
              </w:rPr>
              <w:t xml:space="preserve"> عامل</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بين </w:t>
            </w:r>
            <w:r w:rsidRPr="00211F57">
              <w:rPr>
                <w:rFonts w:ascii="Traditional Arabic" w:hAnsi="Traditional Arabic" w:cs="Traditional Arabic"/>
                <w:sz w:val="28"/>
                <w:szCs w:val="28"/>
                <w:rtl/>
              </w:rPr>
              <w:t>20</w:t>
            </w:r>
            <w:r w:rsidRPr="00211F57">
              <w:rPr>
                <w:rFonts w:ascii="Traditional Arabic" w:hAnsi="Traditional Arabic" w:cs="Traditional Arabic"/>
                <w:sz w:val="32"/>
                <w:szCs w:val="32"/>
                <w:rtl/>
              </w:rPr>
              <w:t xml:space="preserve"> إلى </w:t>
            </w:r>
            <w:r w:rsidRPr="00211F57">
              <w:rPr>
                <w:rFonts w:ascii="Traditional Arabic" w:hAnsi="Traditional Arabic" w:cs="Traditional Arabic"/>
                <w:sz w:val="28"/>
                <w:szCs w:val="28"/>
                <w:rtl/>
              </w:rPr>
              <w:t>50</w:t>
            </w:r>
            <w:r w:rsidRPr="00211F57">
              <w:rPr>
                <w:rFonts w:ascii="Traditional Arabic" w:hAnsi="Traditional Arabic" w:cs="Traditional Arabic"/>
                <w:sz w:val="32"/>
                <w:szCs w:val="32"/>
                <w:rtl/>
              </w:rPr>
              <w:t xml:space="preserve"> عامل</w:t>
            </w:r>
          </w:p>
        </w:tc>
      </w:tr>
      <w:tr w:rsidR="00646999" w:rsidRPr="00211F57" w:rsidTr="001B6997">
        <w:tc>
          <w:tcPr>
            <w:tcW w:w="8522" w:type="dxa"/>
            <w:gridSpan w:val="4"/>
            <w:tcBorders>
              <w:top w:val="single" w:sz="4" w:space="0" w:color="auto"/>
              <w:left w:val="single" w:sz="4" w:space="0" w:color="auto"/>
              <w:bottom w:val="single" w:sz="4" w:space="0" w:color="auto"/>
              <w:right w:val="single" w:sz="4" w:space="0" w:color="auto"/>
            </w:tcBorders>
            <w:shd w:val="pct20" w:color="auto" w:fill="auto"/>
            <w:hideMark/>
          </w:tcPr>
          <w:p w:rsidR="00646999" w:rsidRPr="00211F57" w:rsidRDefault="00646999" w:rsidP="00211F57">
            <w:pPr>
              <w:bidi/>
              <w:spacing w:after="0" w:line="240" w:lineRule="auto"/>
              <w:jc w:val="center"/>
              <w:rPr>
                <w:rFonts w:ascii="Traditional Arabic" w:hAnsi="Traditional Arabic" w:cs="Traditional Arabic"/>
                <w:b/>
                <w:bCs/>
                <w:sz w:val="32"/>
                <w:szCs w:val="32"/>
                <w:lang w:eastAsia="en-US"/>
              </w:rPr>
            </w:pPr>
            <w:r w:rsidRPr="00211F57">
              <w:rPr>
                <w:rFonts w:ascii="Traditional Arabic" w:hAnsi="Traditional Arabic" w:cs="Traditional Arabic"/>
                <w:b/>
                <w:bCs/>
                <w:sz w:val="32"/>
                <w:szCs w:val="32"/>
                <w:rtl/>
              </w:rPr>
              <w:t>بالنظر إلى مبلغ رأس المال</w:t>
            </w:r>
          </w:p>
        </w:tc>
      </w:tr>
      <w:tr w:rsidR="00B17981" w:rsidRPr="00211F57" w:rsidTr="001B6997">
        <w:tc>
          <w:tcPr>
            <w:tcW w:w="2204" w:type="dxa"/>
            <w:tcBorders>
              <w:top w:val="single" w:sz="4" w:space="0" w:color="auto"/>
              <w:left w:val="single" w:sz="4" w:space="0" w:color="auto"/>
              <w:bottom w:val="single" w:sz="4" w:space="0" w:color="auto"/>
              <w:right w:val="single" w:sz="4" w:space="0" w:color="auto"/>
            </w:tcBorders>
            <w:hideMark/>
          </w:tcPr>
          <w:p w:rsidR="00646999" w:rsidRPr="00211F57" w:rsidRDefault="00D73043" w:rsidP="00211F57">
            <w:pPr>
              <w:bidi/>
              <w:spacing w:after="0" w:line="240" w:lineRule="auto"/>
              <w:rPr>
                <w:rFonts w:ascii="Traditional Arabic" w:hAnsi="Traditional Arabic" w:cs="Traditional Arabic"/>
                <w:sz w:val="32"/>
                <w:szCs w:val="32"/>
                <w:lang w:val="en-US" w:eastAsia="en-US"/>
              </w:rPr>
            </w:pPr>
            <w:r>
              <w:rPr>
                <w:rFonts w:ascii="Traditional Arabic" w:hAnsi="Traditional Arabic" w:cs="Traditional Arabic" w:hint="cs"/>
                <w:sz w:val="32"/>
                <w:szCs w:val="32"/>
                <w:rtl/>
              </w:rPr>
              <w:t>مصغّ</w:t>
            </w:r>
            <w:r w:rsidR="00646999" w:rsidRPr="00211F57">
              <w:rPr>
                <w:rFonts w:ascii="Traditional Arabic" w:hAnsi="Traditional Arabic" w:cs="Traditional Arabic"/>
                <w:sz w:val="32"/>
                <w:szCs w:val="32"/>
                <w:rtl/>
              </w:rPr>
              <w:t>رة</w:t>
            </w:r>
            <w:r w:rsidR="00646999" w:rsidRPr="00211F57">
              <w:rPr>
                <w:rFonts w:ascii="Traditional Arabic" w:hAnsi="Traditional Arabic" w:cs="Traditional Arabic"/>
                <w:sz w:val="32"/>
                <w:szCs w:val="32"/>
                <w:lang w:val="en-US"/>
              </w:rPr>
              <w:t xml:space="preserve"> </w:t>
            </w:r>
            <w:r w:rsidR="00646999" w:rsidRPr="00895B5D">
              <w:rPr>
                <w:rFonts w:ascii="Traditional Arabic" w:hAnsi="Traditional Arabic" w:cs="Traditional Arabic"/>
                <w:sz w:val="28"/>
                <w:szCs w:val="28"/>
                <w:lang w:val="en-US"/>
              </w:rPr>
              <w:t>(Micro)</w:t>
            </w:r>
            <w:r w:rsidR="00646999" w:rsidRPr="00211F57">
              <w:rPr>
                <w:rFonts w:ascii="Traditional Arabic" w:hAnsi="Traditional Arabic" w:cs="Traditional Arabic"/>
                <w:sz w:val="32"/>
                <w:szCs w:val="32"/>
                <w:lang w:val="en-US"/>
              </w:rPr>
              <w:t xml:space="preserve"> </w:t>
            </w:r>
          </w:p>
        </w:tc>
        <w:tc>
          <w:tcPr>
            <w:tcW w:w="2064"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val="en-US" w:eastAsia="en-US"/>
              </w:rPr>
            </w:pPr>
            <w:r w:rsidRPr="00211F57">
              <w:rPr>
                <w:rFonts w:ascii="Traditional Arabic" w:hAnsi="Traditional Arabic" w:cs="Traditional Arabic"/>
                <w:sz w:val="32"/>
                <w:szCs w:val="32"/>
                <w:rtl/>
              </w:rPr>
              <w:t xml:space="preserve">أقل من </w:t>
            </w:r>
            <w:r w:rsidRPr="00211F57">
              <w:rPr>
                <w:rFonts w:ascii="Traditional Arabic" w:hAnsi="Traditional Arabic" w:cs="Traditional Arabic"/>
                <w:sz w:val="28"/>
                <w:szCs w:val="28"/>
                <w:lang w:val="en-US"/>
              </w:rPr>
              <w:t>RM200,000</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أقل من </w:t>
            </w:r>
            <w:r w:rsidRPr="00211F57">
              <w:rPr>
                <w:rFonts w:ascii="Traditional Arabic" w:hAnsi="Traditional Arabic" w:cs="Traditional Arabic"/>
                <w:sz w:val="28"/>
                <w:szCs w:val="28"/>
                <w:lang w:val="en-US"/>
              </w:rPr>
              <w:t>RM250,000</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أقل من </w:t>
            </w:r>
            <w:r w:rsidRPr="00211F57">
              <w:rPr>
                <w:rFonts w:ascii="Traditional Arabic" w:hAnsi="Traditional Arabic" w:cs="Traditional Arabic"/>
                <w:sz w:val="28"/>
                <w:szCs w:val="28"/>
                <w:lang w:val="en-US"/>
              </w:rPr>
              <w:t>RM200,000</w:t>
            </w:r>
          </w:p>
        </w:tc>
      </w:tr>
      <w:tr w:rsidR="00B17981" w:rsidRPr="00211F57" w:rsidTr="001B6997">
        <w:tc>
          <w:tcPr>
            <w:tcW w:w="2204"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val="en-US" w:eastAsia="en-US"/>
              </w:rPr>
            </w:pPr>
            <w:r w:rsidRPr="00211F57">
              <w:rPr>
                <w:rFonts w:ascii="Traditional Arabic" w:hAnsi="Traditional Arabic" w:cs="Traditional Arabic"/>
                <w:sz w:val="32"/>
                <w:szCs w:val="32"/>
                <w:rtl/>
              </w:rPr>
              <w:t xml:space="preserve">صغيرة </w:t>
            </w:r>
            <w:r w:rsidRPr="00895B5D">
              <w:rPr>
                <w:rFonts w:ascii="Traditional Arabic" w:hAnsi="Traditional Arabic" w:cs="Traditional Arabic"/>
                <w:sz w:val="28"/>
                <w:szCs w:val="28"/>
                <w:lang w:val="en-US"/>
              </w:rPr>
              <w:t>(Small)</w:t>
            </w:r>
          </w:p>
        </w:tc>
        <w:tc>
          <w:tcPr>
            <w:tcW w:w="2064"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بين</w:t>
            </w:r>
            <w:r w:rsidRPr="00211F57">
              <w:rPr>
                <w:rFonts w:ascii="Traditional Arabic" w:hAnsi="Traditional Arabic" w:cs="Traditional Arabic"/>
                <w:sz w:val="28"/>
                <w:szCs w:val="28"/>
                <w:lang w:val="en-US"/>
              </w:rPr>
              <w:t>RM200,000</w:t>
            </w:r>
            <w:r w:rsidRPr="00211F57">
              <w:rPr>
                <w:rFonts w:ascii="Traditional Arabic" w:hAnsi="Traditional Arabic" w:cs="Traditional Arabic"/>
                <w:sz w:val="28"/>
                <w:szCs w:val="28"/>
                <w:rtl/>
                <w:lang w:val="en-US"/>
              </w:rPr>
              <w:t xml:space="preserve"> إلى </w:t>
            </w:r>
            <w:r w:rsidRPr="00211F57">
              <w:rPr>
                <w:rFonts w:ascii="Traditional Arabic" w:hAnsi="Traditional Arabic" w:cs="Traditional Arabic"/>
                <w:sz w:val="28"/>
                <w:szCs w:val="28"/>
              </w:rPr>
              <w:t>RM1</w:t>
            </w:r>
            <w:r w:rsidRPr="00211F57">
              <w:rPr>
                <w:rFonts w:ascii="Traditional Arabic" w:hAnsi="Traditional Arabic" w:cs="Traditional Arabic"/>
                <w:sz w:val="28"/>
                <w:szCs w:val="28"/>
                <w:rtl/>
                <w:lang w:val="en-US"/>
              </w:rPr>
              <w:t xml:space="preserve"> مليون</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بين </w:t>
            </w:r>
            <w:r w:rsidRPr="00211F57">
              <w:rPr>
                <w:rFonts w:ascii="Traditional Arabic" w:hAnsi="Traditional Arabic" w:cs="Traditional Arabic"/>
                <w:sz w:val="28"/>
                <w:szCs w:val="28"/>
                <w:lang w:val="en-US"/>
              </w:rPr>
              <w:t>RM250,000</w:t>
            </w:r>
            <w:r w:rsidRPr="00211F57">
              <w:rPr>
                <w:rFonts w:ascii="Traditional Arabic" w:hAnsi="Traditional Arabic" w:cs="Traditional Arabic"/>
                <w:sz w:val="28"/>
                <w:szCs w:val="28"/>
                <w:rtl/>
                <w:lang w:val="en-US"/>
              </w:rPr>
              <w:t xml:space="preserve"> إلى </w:t>
            </w:r>
            <w:r w:rsidRPr="00211F57">
              <w:rPr>
                <w:rFonts w:ascii="Traditional Arabic" w:hAnsi="Traditional Arabic" w:cs="Traditional Arabic"/>
                <w:sz w:val="28"/>
                <w:szCs w:val="28"/>
                <w:lang w:val="en-US"/>
              </w:rPr>
              <w:t>RM10</w:t>
            </w:r>
            <w:r w:rsidRPr="00211F57">
              <w:rPr>
                <w:rFonts w:ascii="Traditional Arabic" w:hAnsi="Traditional Arabic" w:cs="Traditional Arabic"/>
                <w:sz w:val="28"/>
                <w:szCs w:val="28"/>
                <w:rtl/>
                <w:lang w:val="en-US"/>
              </w:rPr>
              <w:t>ملايين</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بين </w:t>
            </w:r>
            <w:r w:rsidRPr="00211F57">
              <w:rPr>
                <w:rFonts w:ascii="Traditional Arabic" w:hAnsi="Traditional Arabic" w:cs="Traditional Arabic"/>
                <w:sz w:val="28"/>
                <w:szCs w:val="28"/>
                <w:lang w:val="en-US"/>
              </w:rPr>
              <w:t>RM200,000</w:t>
            </w:r>
            <w:r w:rsidRPr="00211F57">
              <w:rPr>
                <w:rFonts w:ascii="Traditional Arabic" w:hAnsi="Traditional Arabic" w:cs="Traditional Arabic"/>
                <w:sz w:val="28"/>
                <w:szCs w:val="28"/>
                <w:rtl/>
                <w:lang w:val="en-US"/>
              </w:rPr>
              <w:t xml:space="preserve"> إلى </w:t>
            </w:r>
            <w:r w:rsidRPr="00211F57">
              <w:rPr>
                <w:rFonts w:ascii="Traditional Arabic" w:hAnsi="Traditional Arabic" w:cs="Traditional Arabic"/>
                <w:sz w:val="28"/>
                <w:szCs w:val="28"/>
              </w:rPr>
              <w:t>RM1</w:t>
            </w:r>
            <w:r w:rsidRPr="00211F57">
              <w:rPr>
                <w:rFonts w:ascii="Traditional Arabic" w:hAnsi="Traditional Arabic" w:cs="Traditional Arabic"/>
                <w:sz w:val="28"/>
                <w:szCs w:val="28"/>
                <w:rtl/>
                <w:lang w:val="en-US"/>
              </w:rPr>
              <w:t xml:space="preserve"> مليون</w:t>
            </w:r>
          </w:p>
        </w:tc>
      </w:tr>
      <w:tr w:rsidR="00B17981" w:rsidRPr="00211F57" w:rsidTr="001B6997">
        <w:tc>
          <w:tcPr>
            <w:tcW w:w="2204"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val="en-US" w:eastAsia="en-US"/>
              </w:rPr>
            </w:pPr>
            <w:r w:rsidRPr="00211F57">
              <w:rPr>
                <w:rFonts w:ascii="Traditional Arabic" w:hAnsi="Traditional Arabic" w:cs="Traditional Arabic"/>
                <w:sz w:val="32"/>
                <w:szCs w:val="32"/>
                <w:rtl/>
                <w:lang w:val="en-GB"/>
              </w:rPr>
              <w:t>متوسطة</w:t>
            </w:r>
            <w:r w:rsidRPr="00211F57">
              <w:rPr>
                <w:rFonts w:ascii="Traditional Arabic" w:hAnsi="Traditional Arabic" w:cs="Traditional Arabic"/>
                <w:sz w:val="32"/>
                <w:szCs w:val="32"/>
                <w:lang w:val="en-US"/>
              </w:rPr>
              <w:t xml:space="preserve"> </w:t>
            </w:r>
            <w:r w:rsidRPr="005C080B">
              <w:rPr>
                <w:rFonts w:ascii="Traditional Arabic" w:hAnsi="Traditional Arabic" w:cs="Traditional Arabic"/>
                <w:sz w:val="28"/>
                <w:szCs w:val="28"/>
                <w:lang w:val="en-US"/>
              </w:rPr>
              <w:t>(Medium)</w:t>
            </w:r>
            <w:r w:rsidRPr="00211F57">
              <w:rPr>
                <w:rFonts w:ascii="Traditional Arabic" w:hAnsi="Traditional Arabic" w:cs="Traditional Arabic"/>
                <w:sz w:val="32"/>
                <w:szCs w:val="32"/>
                <w:lang w:val="en-US"/>
              </w:rPr>
              <w:t xml:space="preserve"> </w:t>
            </w:r>
          </w:p>
        </w:tc>
        <w:tc>
          <w:tcPr>
            <w:tcW w:w="2064"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بين </w:t>
            </w:r>
            <w:r w:rsidRPr="00211F57">
              <w:rPr>
                <w:rFonts w:ascii="Traditional Arabic" w:hAnsi="Traditional Arabic" w:cs="Traditional Arabic"/>
                <w:sz w:val="28"/>
                <w:szCs w:val="28"/>
              </w:rPr>
              <w:t>RM1</w:t>
            </w:r>
            <w:r w:rsidRPr="00211F57">
              <w:rPr>
                <w:rFonts w:ascii="Traditional Arabic" w:hAnsi="Traditional Arabic" w:cs="Traditional Arabic"/>
                <w:sz w:val="32"/>
                <w:szCs w:val="32"/>
                <w:rtl/>
              </w:rPr>
              <w:t xml:space="preserve"> مليون إلى </w:t>
            </w:r>
            <w:r w:rsidRPr="00211F57">
              <w:rPr>
                <w:rFonts w:ascii="Traditional Arabic" w:hAnsi="Traditional Arabic" w:cs="Traditional Arabic"/>
                <w:sz w:val="28"/>
                <w:szCs w:val="28"/>
              </w:rPr>
              <w:t>RM5</w:t>
            </w:r>
            <w:r w:rsidRPr="00211F57">
              <w:rPr>
                <w:rFonts w:ascii="Traditional Arabic" w:hAnsi="Traditional Arabic" w:cs="Traditional Arabic"/>
                <w:sz w:val="32"/>
                <w:szCs w:val="32"/>
                <w:rtl/>
              </w:rPr>
              <w:t xml:space="preserve"> ملايين</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بين </w:t>
            </w:r>
            <w:r w:rsidRPr="00211F57">
              <w:rPr>
                <w:rFonts w:ascii="Traditional Arabic" w:hAnsi="Traditional Arabic" w:cs="Traditional Arabic"/>
                <w:sz w:val="28"/>
                <w:szCs w:val="28"/>
                <w:lang w:val="en-US"/>
              </w:rPr>
              <w:t>RM10</w:t>
            </w:r>
            <w:r w:rsidRPr="00211F57">
              <w:rPr>
                <w:rFonts w:ascii="Traditional Arabic" w:hAnsi="Traditional Arabic" w:cs="Traditional Arabic"/>
                <w:sz w:val="32"/>
                <w:szCs w:val="32"/>
                <w:rtl/>
              </w:rPr>
              <w:t xml:space="preserve"> ملايين إلى </w:t>
            </w:r>
            <w:r w:rsidRPr="00211F57">
              <w:rPr>
                <w:rFonts w:ascii="Traditional Arabic" w:hAnsi="Traditional Arabic" w:cs="Traditional Arabic"/>
                <w:sz w:val="28"/>
                <w:szCs w:val="28"/>
              </w:rPr>
              <w:t>RM25</w:t>
            </w:r>
            <w:r w:rsidRPr="00211F57">
              <w:rPr>
                <w:rFonts w:ascii="Traditional Arabic" w:hAnsi="Traditional Arabic" w:cs="Traditional Arabic"/>
                <w:sz w:val="32"/>
                <w:szCs w:val="32"/>
                <w:rtl/>
              </w:rPr>
              <w:t xml:space="preserve"> مليون</w:t>
            </w:r>
          </w:p>
        </w:tc>
        <w:tc>
          <w:tcPr>
            <w:tcW w:w="2127" w:type="dxa"/>
            <w:tcBorders>
              <w:top w:val="single" w:sz="4" w:space="0" w:color="auto"/>
              <w:left w:val="single" w:sz="4" w:space="0" w:color="auto"/>
              <w:bottom w:val="single" w:sz="4" w:space="0" w:color="auto"/>
              <w:right w:val="single" w:sz="4" w:space="0" w:color="auto"/>
            </w:tcBorders>
            <w:hideMark/>
          </w:tcPr>
          <w:p w:rsidR="00646999" w:rsidRPr="00211F57" w:rsidRDefault="00646999" w:rsidP="00211F57">
            <w:pPr>
              <w:bidi/>
              <w:spacing w:after="0" w:line="240" w:lineRule="auto"/>
              <w:rPr>
                <w:rFonts w:ascii="Traditional Arabic" w:hAnsi="Traditional Arabic" w:cs="Traditional Arabic"/>
                <w:sz w:val="32"/>
                <w:szCs w:val="32"/>
                <w:lang w:eastAsia="en-US"/>
              </w:rPr>
            </w:pPr>
            <w:r w:rsidRPr="00211F57">
              <w:rPr>
                <w:rFonts w:ascii="Traditional Arabic" w:hAnsi="Traditional Arabic" w:cs="Traditional Arabic"/>
                <w:sz w:val="32"/>
                <w:szCs w:val="32"/>
                <w:rtl/>
              </w:rPr>
              <w:t xml:space="preserve">بين </w:t>
            </w:r>
            <w:r w:rsidRPr="00211F57">
              <w:rPr>
                <w:rFonts w:ascii="Traditional Arabic" w:hAnsi="Traditional Arabic" w:cs="Traditional Arabic"/>
                <w:sz w:val="28"/>
                <w:szCs w:val="28"/>
              </w:rPr>
              <w:t>RM1</w:t>
            </w:r>
            <w:r w:rsidRPr="00211F57">
              <w:rPr>
                <w:rFonts w:ascii="Traditional Arabic" w:hAnsi="Traditional Arabic" w:cs="Traditional Arabic"/>
                <w:sz w:val="32"/>
                <w:szCs w:val="32"/>
                <w:rtl/>
              </w:rPr>
              <w:t xml:space="preserve"> مليون إلى </w:t>
            </w:r>
            <w:r w:rsidRPr="00211F57">
              <w:rPr>
                <w:rFonts w:ascii="Traditional Arabic" w:hAnsi="Traditional Arabic" w:cs="Traditional Arabic"/>
                <w:sz w:val="28"/>
                <w:szCs w:val="28"/>
              </w:rPr>
              <w:t>RM5</w:t>
            </w:r>
            <w:r w:rsidRPr="00211F57">
              <w:rPr>
                <w:rFonts w:ascii="Traditional Arabic" w:hAnsi="Traditional Arabic" w:cs="Traditional Arabic"/>
                <w:sz w:val="32"/>
                <w:szCs w:val="32"/>
                <w:rtl/>
              </w:rPr>
              <w:t xml:space="preserve"> ملايين</w:t>
            </w:r>
          </w:p>
        </w:tc>
      </w:tr>
    </w:tbl>
    <w:p w:rsidR="001B6997" w:rsidRDefault="001B6997" w:rsidP="001B6997">
      <w:pPr>
        <w:bidi/>
        <w:rPr>
          <w:rFonts w:ascii="Traditional Arabic" w:hAnsi="Traditional Arabic" w:cs="Traditional Arabic" w:hint="cs"/>
          <w:sz w:val="32"/>
          <w:szCs w:val="32"/>
          <w:rtl/>
        </w:rPr>
      </w:pPr>
    </w:p>
    <w:p w:rsidR="00646999" w:rsidRDefault="00646999" w:rsidP="00D73043">
      <w:pPr>
        <w:bidi/>
        <w:rPr>
          <w:rFonts w:ascii="Traditional Arabic" w:hAnsi="Traditional Arabic" w:cs="Traditional Arabic"/>
          <w:sz w:val="32"/>
          <w:szCs w:val="32"/>
          <w:rtl/>
        </w:rPr>
      </w:pPr>
      <w:r>
        <w:rPr>
          <w:rFonts w:ascii="Traditional Arabic" w:hAnsi="Traditional Arabic" w:cs="Traditional Arabic"/>
          <w:sz w:val="32"/>
          <w:szCs w:val="32"/>
          <w:rtl/>
        </w:rPr>
        <w:t>وأما بالنسبة لمراحل تطور الشركات فنستطيع أن نبيّن</w:t>
      </w:r>
      <w:r w:rsidR="00D73043">
        <w:rPr>
          <w:rFonts w:ascii="Traditional Arabic" w:hAnsi="Traditional Arabic" w:cs="Traditional Arabic" w:hint="cs"/>
          <w:sz w:val="32"/>
          <w:szCs w:val="32"/>
          <w:rtl/>
        </w:rPr>
        <w:t>ها</w:t>
      </w:r>
      <w:r>
        <w:rPr>
          <w:rFonts w:ascii="Traditional Arabic" w:hAnsi="Traditional Arabic" w:cs="Traditional Arabic"/>
          <w:sz w:val="32"/>
          <w:szCs w:val="32"/>
          <w:rtl/>
        </w:rPr>
        <w:t xml:space="preserve"> في الجدول الآتي</w:t>
      </w:r>
      <w:r>
        <w:rPr>
          <w:rStyle w:val="a4"/>
          <w:rFonts w:ascii="Traditional Arabic" w:hAnsi="Traditional Arabic" w:cs="Traditional Arabic"/>
          <w:sz w:val="32"/>
          <w:szCs w:val="32"/>
          <w:rtl/>
        </w:rPr>
        <w:footnoteReference w:id="8"/>
      </w:r>
      <w:r>
        <w:rPr>
          <w:rFonts w:ascii="Traditional Arabic" w:hAnsi="Traditional Arabic" w:cs="Traditional Arabic"/>
          <w:sz w:val="32"/>
          <w:szCs w:val="32"/>
          <w:rtl/>
        </w:rPr>
        <w:t>:</w:t>
      </w:r>
    </w:p>
    <w:p w:rsidR="00646999" w:rsidRDefault="00966799" w:rsidP="00646999">
      <w:pPr>
        <w:bidi/>
        <w:ind w:left="1088"/>
        <w:rPr>
          <w:rFonts w:ascii="Traditional Arabic" w:hAnsi="Traditional Arabic" w:cs="Traditional Arabic"/>
          <w:sz w:val="32"/>
          <w:szCs w:val="32"/>
          <w:rtl/>
        </w:rPr>
      </w:pPr>
      <w:r>
        <w:rPr>
          <w:rFonts w:ascii="Traditional Arabic" w:hAnsi="Traditional Arabic" w:cs="Traditional Arabic"/>
          <w:noProof/>
          <w:sz w:val="32"/>
          <w:szCs w:val="32"/>
          <w:lang w:val="en-US" w:eastAsia="en-US"/>
        </w:rPr>
        <w:drawing>
          <wp:inline distT="0" distB="0" distL="0" distR="0">
            <wp:extent cx="3583802" cy="1631767"/>
            <wp:effectExtent l="19050" t="0" r="16648" b="6533"/>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646999" w:rsidRDefault="00646999" w:rsidP="00646999">
      <w:pPr>
        <w:bidi/>
        <w:rPr>
          <w:rFonts w:ascii="Traditional Arabic" w:hAnsi="Traditional Arabic" w:cs="Traditional Arabic"/>
          <w:sz w:val="32"/>
          <w:szCs w:val="32"/>
          <w:rtl/>
          <w:lang w:val="en-GB"/>
        </w:rPr>
      </w:pPr>
    </w:p>
    <w:p w:rsidR="00646999" w:rsidRDefault="00646999" w:rsidP="0016681F">
      <w:pPr>
        <w:bidi/>
        <w:rPr>
          <w:rFonts w:ascii="Traditional Arabic" w:hAnsi="Traditional Arabic" w:cs="Traditional Arabic"/>
          <w:sz w:val="32"/>
          <w:szCs w:val="32"/>
          <w:rtl/>
          <w:lang w:val="en-GB"/>
        </w:rPr>
      </w:pPr>
      <w:r>
        <w:rPr>
          <w:rFonts w:ascii="Traditional Arabic" w:hAnsi="Traditional Arabic" w:cs="Traditional Arabic"/>
          <w:sz w:val="32"/>
          <w:szCs w:val="32"/>
          <w:rtl/>
          <w:lang w:val="en-GB"/>
        </w:rPr>
        <w:t xml:space="preserve">بناءً على تصنيف المنشآت الصغيرة والمتوسطة ومراحل تطورها، قد أجرى الباحث المقابلات الشخصية مع عدد من موظفي المؤسسات المالية الإسلامية لمعرفة درجة ثقتهم تجاه تلك الشركات لغرض التمويل، </w:t>
      </w:r>
      <w:r w:rsidR="0016681F">
        <w:rPr>
          <w:rFonts w:ascii="Traditional Arabic" w:hAnsi="Traditional Arabic" w:cs="Traditional Arabic" w:hint="cs"/>
          <w:sz w:val="32"/>
          <w:szCs w:val="32"/>
          <w:rtl/>
          <w:lang w:val="en-GB"/>
        </w:rPr>
        <w:t>وخرجت بنتائج على النحو الآتي</w:t>
      </w:r>
      <w:r>
        <w:rPr>
          <w:rFonts w:ascii="Traditional Arabic" w:hAnsi="Traditional Arabic" w:cs="Traditional Arabic"/>
          <w:sz w:val="32"/>
          <w:szCs w:val="32"/>
          <w:rtl/>
          <w:lang w:val="en-GB"/>
        </w:rPr>
        <w:t>:</w:t>
      </w:r>
    </w:p>
    <w:p w:rsidR="00646999" w:rsidRDefault="00646999" w:rsidP="00646999">
      <w:pPr>
        <w:pStyle w:val="a6"/>
        <w:numPr>
          <w:ilvl w:val="0"/>
          <w:numId w:val="1"/>
        </w:numPr>
        <w:bidi/>
        <w:rPr>
          <w:rFonts w:ascii="Traditional Arabic" w:hAnsi="Traditional Arabic" w:cs="Traditional Arabic"/>
          <w:sz w:val="32"/>
          <w:szCs w:val="32"/>
          <w:rtl/>
          <w:lang w:val="en-GB"/>
        </w:rPr>
      </w:pPr>
      <w:r>
        <w:rPr>
          <w:rFonts w:ascii="Traditional Arabic" w:hAnsi="Traditional Arabic" w:cs="Traditional Arabic"/>
          <w:sz w:val="32"/>
          <w:szCs w:val="32"/>
          <w:rtl/>
          <w:lang w:val="en-GB"/>
        </w:rPr>
        <w:t>نظرا إلى القطاع ، فالثقة أكبر تجاه الشركات الزراعية ثم الشركات الصناعية ثم شركات الخدمات.</w:t>
      </w:r>
    </w:p>
    <w:p w:rsidR="00646999" w:rsidRDefault="00646999" w:rsidP="0016681F">
      <w:pPr>
        <w:pStyle w:val="a6"/>
        <w:numPr>
          <w:ilvl w:val="0"/>
          <w:numId w:val="1"/>
        </w:numPr>
        <w:bidi/>
        <w:rPr>
          <w:rFonts w:ascii="Traditional Arabic" w:hAnsi="Traditional Arabic" w:cs="Traditional Arabic"/>
          <w:sz w:val="32"/>
          <w:szCs w:val="32"/>
          <w:lang w:val="en-GB"/>
        </w:rPr>
      </w:pPr>
      <w:r>
        <w:rPr>
          <w:rFonts w:ascii="Traditional Arabic" w:hAnsi="Traditional Arabic" w:cs="Traditional Arabic"/>
          <w:sz w:val="32"/>
          <w:szCs w:val="32"/>
          <w:rtl/>
          <w:lang w:val="en-GB"/>
        </w:rPr>
        <w:t>نظرا إلى مبلغ رأس المال ، فالثقة أكبر تجاه الشركات المتوسطة ثم الشركات الصغيرة ثم الشركات ال</w:t>
      </w:r>
      <w:r w:rsidR="0016681F">
        <w:rPr>
          <w:rFonts w:ascii="Traditional Arabic" w:hAnsi="Traditional Arabic" w:cs="Traditional Arabic" w:hint="cs"/>
          <w:sz w:val="32"/>
          <w:szCs w:val="32"/>
          <w:rtl/>
          <w:lang w:val="en-GB"/>
        </w:rPr>
        <w:t>مصغّرة</w:t>
      </w:r>
      <w:r>
        <w:rPr>
          <w:rFonts w:ascii="Traditional Arabic" w:hAnsi="Traditional Arabic" w:cs="Traditional Arabic"/>
          <w:sz w:val="32"/>
          <w:szCs w:val="32"/>
          <w:rtl/>
          <w:lang w:val="en-GB"/>
        </w:rPr>
        <w:t>.</w:t>
      </w:r>
    </w:p>
    <w:p w:rsidR="00646999" w:rsidRDefault="00646999" w:rsidP="0016681F">
      <w:pPr>
        <w:pStyle w:val="a6"/>
        <w:numPr>
          <w:ilvl w:val="0"/>
          <w:numId w:val="1"/>
        </w:numPr>
        <w:bidi/>
        <w:rPr>
          <w:rFonts w:ascii="Traditional Arabic" w:hAnsi="Traditional Arabic" w:cs="Traditional Arabic"/>
          <w:sz w:val="32"/>
          <w:szCs w:val="32"/>
          <w:lang w:val="en-GB"/>
        </w:rPr>
      </w:pPr>
      <w:r>
        <w:rPr>
          <w:rFonts w:ascii="Traditional Arabic" w:hAnsi="Traditional Arabic" w:cs="Traditional Arabic"/>
          <w:sz w:val="32"/>
          <w:szCs w:val="32"/>
          <w:rtl/>
          <w:lang w:val="en-GB"/>
        </w:rPr>
        <w:t>نظرا إلى مراحل تطور الشركات ، فالثقة أكبر تجاه الشركات الناضجة مقارنة بالشركات جديدة الإنشاء.</w:t>
      </w:r>
    </w:p>
    <w:p w:rsidR="00646999" w:rsidRDefault="0016681F" w:rsidP="0016681F">
      <w:pPr>
        <w:bidi/>
        <w:rPr>
          <w:rFonts w:ascii="Traditional Arabic" w:hAnsi="Traditional Arabic" w:cs="Traditional Arabic"/>
          <w:sz w:val="32"/>
          <w:szCs w:val="32"/>
          <w:lang w:val="en-GB"/>
        </w:rPr>
      </w:pPr>
      <w:r>
        <w:rPr>
          <w:rFonts w:ascii="Traditional Arabic" w:hAnsi="Traditional Arabic" w:cs="Traditional Arabic" w:hint="cs"/>
          <w:sz w:val="32"/>
          <w:szCs w:val="32"/>
          <w:rtl/>
          <w:lang w:val="en-GB"/>
        </w:rPr>
        <w:t xml:space="preserve">والملاحظ بأنه كلما كانت </w:t>
      </w:r>
      <w:r w:rsidR="00646999">
        <w:rPr>
          <w:rFonts w:ascii="Traditional Arabic" w:hAnsi="Traditional Arabic" w:cs="Traditional Arabic"/>
          <w:sz w:val="32"/>
          <w:szCs w:val="32"/>
          <w:rtl/>
          <w:lang w:val="en-GB"/>
        </w:rPr>
        <w:t>درجة الثقة أكبر فتكون إجراءات التمويل أكثر سهولةً وخصوصا من جانب الحاجة إلى الرهن. وك</w:t>
      </w:r>
      <w:r>
        <w:rPr>
          <w:rFonts w:ascii="Traditional Arabic" w:hAnsi="Traditional Arabic" w:cs="Traditional Arabic" w:hint="cs"/>
          <w:sz w:val="32"/>
          <w:szCs w:val="32"/>
          <w:rtl/>
          <w:lang w:val="en-GB"/>
        </w:rPr>
        <w:t xml:space="preserve">ما أن الباحث </w:t>
      </w:r>
      <w:r w:rsidR="00646999">
        <w:rPr>
          <w:rFonts w:ascii="Traditional Arabic" w:hAnsi="Traditional Arabic" w:cs="Traditional Arabic"/>
          <w:sz w:val="32"/>
          <w:szCs w:val="32"/>
          <w:rtl/>
          <w:lang w:val="en-GB"/>
        </w:rPr>
        <w:t xml:space="preserve">قد استفسر باحث عن عقود تُبنى عليها تمويل المنشآت الصغيرة والمتوسطة ، فكانت الإجابة هي أن التمويل يتم من خلال عقدي التورق أو العينة. ثم استفسر الباحث عن سبب عدم الرغبة في التمويل بالمضاربة فأجابوا أن المؤسسات المالية الإسلامية غير مستعدة للمضاربة لعدة أسباب من ضمنها عدم ثقتهم بالشركات - خصوصا - الصغيرة والجديدة من حيث </w:t>
      </w:r>
      <w:r>
        <w:rPr>
          <w:rFonts w:ascii="Traditional Arabic" w:hAnsi="Traditional Arabic" w:cs="Traditional Arabic" w:hint="cs"/>
          <w:sz w:val="32"/>
          <w:szCs w:val="32"/>
          <w:rtl/>
          <w:lang w:val="en-GB"/>
        </w:rPr>
        <w:t>إ</w:t>
      </w:r>
      <w:r w:rsidR="00646999">
        <w:rPr>
          <w:rFonts w:ascii="Traditional Arabic" w:hAnsi="Traditional Arabic" w:cs="Traditional Arabic"/>
          <w:sz w:val="32"/>
          <w:szCs w:val="32"/>
          <w:rtl/>
          <w:lang w:val="en-GB"/>
        </w:rPr>
        <w:t>ن عقد المضاربة خالي من الضمان، ففي حالة فشل المشروع ، المؤسسات المالية الإسلامية ستخسر رأس مالها والمضارب لا يخسر إلا جهده فقط ، وفضلا عن ذلك ، الكلام كلام المضارب. وهذه المخاطر</w:t>
      </w:r>
      <w:r w:rsidR="00D54C5F">
        <w:rPr>
          <w:rFonts w:ascii="Traditional Arabic" w:hAnsi="Traditional Arabic" w:cs="Traditional Arabic" w:hint="cs"/>
          <w:sz w:val="32"/>
          <w:szCs w:val="32"/>
          <w:rtl/>
          <w:lang w:val="en-GB"/>
        </w:rPr>
        <w:t xml:space="preserve"> لا توجد في</w:t>
      </w:r>
      <w:r w:rsidR="00646999">
        <w:rPr>
          <w:rFonts w:ascii="Traditional Arabic" w:hAnsi="Traditional Arabic" w:cs="Traditional Arabic"/>
          <w:sz w:val="32"/>
          <w:szCs w:val="32"/>
          <w:rtl/>
          <w:lang w:val="en-GB"/>
        </w:rPr>
        <w:t xml:space="preserve"> التمويل المبني على عقد التورق مثلا لأن الد</w:t>
      </w:r>
      <w:r w:rsidR="00E12764">
        <w:rPr>
          <w:rFonts w:ascii="Traditional Arabic" w:hAnsi="Traditional Arabic" w:cs="Traditional Arabic" w:hint="cs"/>
          <w:sz w:val="32"/>
          <w:szCs w:val="32"/>
          <w:rtl/>
          <w:lang w:val="en-GB"/>
        </w:rPr>
        <w:t>َّ</w:t>
      </w:r>
      <w:r w:rsidR="00646999">
        <w:rPr>
          <w:rFonts w:ascii="Traditional Arabic" w:hAnsi="Traditional Arabic" w:cs="Traditional Arabic"/>
          <w:sz w:val="32"/>
          <w:szCs w:val="32"/>
          <w:rtl/>
          <w:lang w:val="en-GB"/>
        </w:rPr>
        <w:t>ين قد ثبت على الشركات من خلال معاملة بيع السلع لها.</w:t>
      </w:r>
    </w:p>
    <w:p w:rsidR="00646999" w:rsidRDefault="00646999" w:rsidP="00E12764">
      <w:pPr>
        <w:bidi/>
        <w:rPr>
          <w:rFonts w:ascii="Traditional Arabic" w:hAnsi="Traditional Arabic" w:cs="Traditional Arabic"/>
          <w:sz w:val="32"/>
          <w:szCs w:val="32"/>
          <w:rtl/>
          <w:lang w:val="en-GB"/>
        </w:rPr>
      </w:pPr>
      <w:r>
        <w:rPr>
          <w:rFonts w:ascii="Traditional Arabic" w:hAnsi="Traditional Arabic" w:cs="Traditional Arabic"/>
          <w:sz w:val="32"/>
          <w:szCs w:val="32"/>
          <w:rtl/>
          <w:lang w:val="en-GB"/>
        </w:rPr>
        <w:t>وبناءً على المعلومات أعلاه ، يتبين أن من عقبات التمويل بالمضاربة هو تخوف المؤسسات المالية الإسلامية من ضياع مالها في حالة فشل المشروع والت</w:t>
      </w:r>
      <w:r w:rsidR="00E12764">
        <w:rPr>
          <w:rFonts w:ascii="Traditional Arabic" w:hAnsi="Traditional Arabic" w:cs="Traditional Arabic" w:hint="cs"/>
          <w:sz w:val="32"/>
          <w:szCs w:val="32"/>
          <w:rtl/>
          <w:lang w:val="en-GB"/>
        </w:rPr>
        <w:t>خ</w:t>
      </w:r>
      <w:r>
        <w:rPr>
          <w:rFonts w:ascii="Traditional Arabic" w:hAnsi="Traditional Arabic" w:cs="Traditional Arabic"/>
          <w:sz w:val="32"/>
          <w:szCs w:val="32"/>
          <w:rtl/>
          <w:lang w:val="en-GB"/>
        </w:rPr>
        <w:t>وف هذا ذا علاقة قوية بموضوع هذه الورقة وهو مسألة ضمان المضارب.</w:t>
      </w:r>
    </w:p>
    <w:p w:rsidR="00BF0C1A" w:rsidRDefault="00646999" w:rsidP="001342B8">
      <w:pPr>
        <w:bidi/>
        <w:rPr>
          <w:rFonts w:ascii="Traditional Arabic" w:hAnsi="Traditional Arabic" w:cs="Traditional Arabic" w:hint="cs"/>
          <w:sz w:val="32"/>
          <w:szCs w:val="32"/>
          <w:rtl/>
          <w:lang w:val="en-GB"/>
        </w:rPr>
      </w:pPr>
      <w:r>
        <w:rPr>
          <w:rFonts w:ascii="Traditional Arabic" w:hAnsi="Traditional Arabic" w:cs="Traditional Arabic"/>
          <w:sz w:val="32"/>
          <w:szCs w:val="32"/>
          <w:rtl/>
          <w:lang w:val="en-GB"/>
        </w:rPr>
        <w:lastRenderedPageBreak/>
        <w:t>والتخوف أيضا له أساس قوي وخصوصا بعد الأزمة الاقتصادية، وقد جاء في تقرير منظمة التعاون الاقتصادي والتنمية</w:t>
      </w:r>
      <w:r>
        <w:rPr>
          <w:rStyle w:val="a4"/>
          <w:rFonts w:ascii="Traditional Arabic" w:hAnsi="Traditional Arabic" w:cs="Traditional Arabic"/>
          <w:sz w:val="32"/>
          <w:szCs w:val="32"/>
          <w:rtl/>
          <w:lang w:val="en-GB"/>
        </w:rPr>
        <w:footnoteReference w:id="9"/>
      </w:r>
      <w:r>
        <w:rPr>
          <w:rFonts w:ascii="Traditional Arabic" w:hAnsi="Traditional Arabic" w:cs="Traditional Arabic"/>
          <w:sz w:val="32"/>
          <w:szCs w:val="32"/>
          <w:rtl/>
          <w:lang w:val="en-GB"/>
        </w:rPr>
        <w:t xml:space="preserve"> أن العدد الإجمالي لحالات إعسار الشركات الصغيرة والمتوسطة في أوروبا قد ارتفع بنسبة 11 ٪ ، وفي بعض الدول مثل الدنمارك والنرويج وإيطاليا وأسبانيا العدد الإجمالي قد ارتفع إلى 25%  ، وقد أفادت إحدى المناقشات في السويد أن الإفلاس قد زاد أكثر من 50% في الشهرين اليناير والفبراير 2009 مقارنة بنفس </w:t>
      </w:r>
      <w:r w:rsidR="001342B8">
        <w:rPr>
          <w:rFonts w:ascii="Traditional Arabic" w:hAnsi="Traditional Arabic" w:cs="Traditional Arabic" w:hint="cs"/>
          <w:sz w:val="32"/>
          <w:szCs w:val="32"/>
          <w:rtl/>
          <w:lang w:val="en-GB"/>
        </w:rPr>
        <w:t>المدة</w:t>
      </w:r>
      <w:r>
        <w:rPr>
          <w:rFonts w:ascii="Traditional Arabic" w:hAnsi="Traditional Arabic" w:cs="Traditional Arabic"/>
          <w:sz w:val="32"/>
          <w:szCs w:val="32"/>
          <w:rtl/>
          <w:lang w:val="en-GB"/>
        </w:rPr>
        <w:t xml:space="preserve"> في السنة السابقة. وإذا كان الأمر هكذا في البلدان المتقدمة ، فنستطيع أن نقول بأن الوضع أسوأ في البلدان النامية والفقيرة.</w:t>
      </w:r>
    </w:p>
    <w:p w:rsidR="00646999" w:rsidRDefault="00BF0C1A" w:rsidP="00147156">
      <w:pPr>
        <w:bidi/>
        <w:ind w:left="84"/>
        <w:rPr>
          <w:rFonts w:ascii="Traditional Arabic" w:hAnsi="Traditional Arabic" w:cs="Traditional Arabic"/>
          <w:vanish/>
          <w:sz w:val="32"/>
          <w:szCs w:val="32"/>
          <w:rtl/>
          <w:lang w:val="en-GB"/>
        </w:rPr>
      </w:pPr>
      <w:r>
        <w:rPr>
          <w:rFonts w:ascii="Traditional Arabic" w:hAnsi="Traditional Arabic" w:cs="Traditional Arabic" w:hint="cs"/>
          <w:sz w:val="32"/>
          <w:szCs w:val="32"/>
          <w:rtl/>
          <w:lang w:val="en-GB"/>
        </w:rPr>
        <w:t>وفي كتابه،</w:t>
      </w:r>
      <w:r w:rsidR="00147156">
        <w:rPr>
          <w:rStyle w:val="a4"/>
          <w:rFonts w:ascii="Traditional Arabic" w:hAnsi="Traditional Arabic" w:cs="Traditional Arabic"/>
          <w:color w:val="000000"/>
          <w:sz w:val="32"/>
          <w:szCs w:val="32"/>
          <w:rtl/>
          <w:lang/>
        </w:rPr>
        <w:footnoteReference w:id="10"/>
      </w:r>
      <w:r>
        <w:rPr>
          <w:rFonts w:ascii="Traditional Arabic" w:hAnsi="Traditional Arabic" w:cs="Traditional Arabic" w:hint="cs"/>
          <w:sz w:val="32"/>
          <w:szCs w:val="32"/>
          <w:rtl/>
          <w:lang w:val="en-GB"/>
        </w:rPr>
        <w:t xml:space="preserve"> </w:t>
      </w:r>
      <w:r w:rsidR="008C10ED">
        <w:rPr>
          <w:rFonts w:ascii="Traditional Arabic" w:hAnsi="Traditional Arabic" w:cs="Traditional Arabic" w:hint="cs"/>
          <w:sz w:val="32"/>
          <w:szCs w:val="32"/>
          <w:rtl/>
          <w:lang w:val="en-GB"/>
        </w:rPr>
        <w:t>يعطي</w:t>
      </w:r>
      <w:r>
        <w:rPr>
          <w:rFonts w:ascii="Traditional Arabic" w:hAnsi="Traditional Arabic" w:cs="Traditional Arabic" w:hint="cs"/>
          <w:sz w:val="32"/>
          <w:szCs w:val="32"/>
          <w:rtl/>
          <w:lang w:val="en-GB"/>
        </w:rPr>
        <w:t xml:space="preserve"> مايكل إيمس</w:t>
      </w:r>
      <w:r w:rsidR="00646999">
        <w:rPr>
          <w:rFonts w:ascii="Traditional Arabic" w:hAnsi="Traditional Arabic" w:cs="Traditional Arabic"/>
          <w:vanish/>
          <w:sz w:val="32"/>
          <w:szCs w:val="32"/>
          <w:lang w:val="en-GB"/>
        </w:rPr>
        <w:t>Listen</w:t>
      </w:r>
      <w:r w:rsidR="008C10ED">
        <w:rPr>
          <w:rFonts w:ascii="Traditional Arabic" w:hAnsi="Traditional Arabic" w:cs="Traditional Arabic" w:hint="cs"/>
          <w:sz w:val="32"/>
          <w:szCs w:val="32"/>
          <w:rtl/>
          <w:lang w:val="en-GB"/>
        </w:rPr>
        <w:t xml:space="preserve"> </w:t>
      </w:r>
      <w:r w:rsidR="008C10ED" w:rsidRPr="008C10ED">
        <w:rPr>
          <w:rFonts w:ascii="Traditional Arabic" w:hAnsi="Traditional Arabic" w:cs="Traditional Arabic"/>
          <w:color w:val="000000"/>
          <w:sz w:val="32"/>
          <w:szCs w:val="32"/>
          <w:rtl/>
          <w:lang/>
        </w:rPr>
        <w:t>الأسباب التالية لفشل المشاريع الصغيرة:</w:t>
      </w:r>
      <w:r w:rsidR="008C10ED">
        <w:rPr>
          <w:rFonts w:ascii="Traditional Arabic" w:hAnsi="Traditional Arabic" w:cs="Traditional Arabic"/>
          <w:color w:val="000000"/>
          <w:sz w:val="32"/>
          <w:szCs w:val="32"/>
          <w:lang/>
        </w:rPr>
        <w:t xml:space="preserve"> </w:t>
      </w:r>
      <w:r w:rsidR="008C10ED" w:rsidRPr="008C10ED">
        <w:rPr>
          <w:rFonts w:ascii="Traditional Arabic" w:hAnsi="Traditional Arabic" w:cs="Traditional Arabic"/>
          <w:color w:val="000000"/>
          <w:sz w:val="32"/>
          <w:szCs w:val="32"/>
          <w:rtl/>
          <w:lang/>
        </w:rPr>
        <w:t>نقص الخبرة</w:t>
      </w:r>
      <w:r w:rsidR="008C10ED">
        <w:rPr>
          <w:rFonts w:ascii="Traditional Arabic" w:hAnsi="Traditional Arabic" w:cs="Traditional Arabic"/>
          <w:color w:val="000000"/>
          <w:sz w:val="32"/>
          <w:szCs w:val="32"/>
          <w:lang/>
        </w:rPr>
        <w:t xml:space="preserve"> </w:t>
      </w:r>
      <w:r w:rsidR="008C10ED">
        <w:rPr>
          <w:rFonts w:ascii="Traditional Arabic" w:hAnsi="Traditional Arabic" w:cs="Traditional Arabic" w:hint="cs"/>
          <w:color w:val="000000"/>
          <w:sz w:val="32"/>
          <w:szCs w:val="32"/>
          <w:rtl/>
          <w:lang w:val="en-GB"/>
        </w:rPr>
        <w:t xml:space="preserve"> وموقع التجارة غير مناسب و</w:t>
      </w:r>
      <w:r w:rsidR="008C10ED" w:rsidRPr="008C10ED">
        <w:rPr>
          <w:rFonts w:ascii="Traditional Arabic" w:hAnsi="Traditional Arabic" w:cs="Traditional Arabic"/>
          <w:color w:val="000000"/>
          <w:sz w:val="32"/>
          <w:szCs w:val="32"/>
          <w:rtl/>
          <w:lang/>
        </w:rPr>
        <w:t xml:space="preserve">عدم كفاية رأس المال </w:t>
      </w:r>
      <w:r w:rsidR="008C10ED">
        <w:rPr>
          <w:rFonts w:ascii="Traditional Arabic" w:hAnsi="Traditional Arabic" w:cs="Traditional Arabic" w:hint="cs"/>
          <w:color w:val="000000"/>
          <w:sz w:val="32"/>
          <w:szCs w:val="32"/>
          <w:rtl/>
          <w:lang/>
        </w:rPr>
        <w:t xml:space="preserve">وسوء </w:t>
      </w:r>
      <w:r w:rsidR="008C10ED" w:rsidRPr="008C10ED">
        <w:rPr>
          <w:rFonts w:ascii="Traditional Arabic" w:hAnsi="Traditional Arabic" w:cs="Traditional Arabic"/>
          <w:color w:val="000000"/>
          <w:sz w:val="32"/>
          <w:szCs w:val="32"/>
          <w:rtl/>
          <w:lang/>
        </w:rPr>
        <w:t xml:space="preserve">إدارة المخزون </w:t>
      </w:r>
      <w:r w:rsidR="008C10ED">
        <w:rPr>
          <w:rFonts w:ascii="Traditional Arabic" w:hAnsi="Traditional Arabic" w:cs="Traditional Arabic" w:hint="cs"/>
          <w:color w:val="000000"/>
          <w:sz w:val="32"/>
          <w:szCs w:val="32"/>
          <w:rtl/>
          <w:lang/>
        </w:rPr>
        <w:t>و</w:t>
      </w:r>
      <w:r w:rsidR="008C10ED" w:rsidRPr="008C10ED">
        <w:rPr>
          <w:rFonts w:ascii="Traditional Arabic" w:hAnsi="Traditional Arabic" w:cs="Traditional Arabic"/>
          <w:color w:val="000000"/>
          <w:sz w:val="32"/>
          <w:szCs w:val="32"/>
          <w:rtl/>
          <w:lang/>
        </w:rPr>
        <w:t>الإفراط في الاستثمار في الأصول الثابتة</w:t>
      </w:r>
      <w:r w:rsidR="008C10ED">
        <w:rPr>
          <w:rFonts w:ascii="Traditional Arabic" w:hAnsi="Traditional Arabic" w:cs="Traditional Arabic" w:hint="cs"/>
          <w:color w:val="000000"/>
          <w:sz w:val="32"/>
          <w:szCs w:val="32"/>
          <w:rtl/>
          <w:lang/>
        </w:rPr>
        <w:t xml:space="preserve"> وسوء إدارة الدَّين و</w:t>
      </w:r>
      <w:r w:rsidR="008C10ED" w:rsidRPr="008C10ED">
        <w:rPr>
          <w:rFonts w:ascii="Traditional Arabic" w:hAnsi="Traditional Arabic" w:cs="Traditional Arabic"/>
          <w:color w:val="000000"/>
          <w:sz w:val="32"/>
          <w:szCs w:val="32"/>
          <w:rtl/>
          <w:lang/>
        </w:rPr>
        <w:t>استخدام الأموال</w:t>
      </w:r>
      <w:r w:rsidR="008C10ED">
        <w:rPr>
          <w:rFonts w:ascii="Traditional Arabic" w:hAnsi="Traditional Arabic" w:cs="Traditional Arabic" w:hint="cs"/>
          <w:color w:val="000000"/>
          <w:sz w:val="32"/>
          <w:szCs w:val="32"/>
          <w:rtl/>
          <w:lang/>
        </w:rPr>
        <w:t xml:space="preserve"> للأغراض</w:t>
      </w:r>
      <w:r w:rsidR="008C10ED" w:rsidRPr="008C10ED">
        <w:rPr>
          <w:rFonts w:ascii="Traditional Arabic" w:hAnsi="Traditional Arabic" w:cs="Traditional Arabic"/>
          <w:color w:val="000000"/>
          <w:sz w:val="32"/>
          <w:szCs w:val="32"/>
          <w:rtl/>
          <w:lang/>
        </w:rPr>
        <w:t xml:space="preserve"> الشخصية </w:t>
      </w:r>
      <w:r w:rsidR="008B60BC">
        <w:rPr>
          <w:rFonts w:ascii="Traditional Arabic" w:hAnsi="Traditional Arabic" w:cs="Traditional Arabic" w:hint="cs"/>
          <w:color w:val="000000"/>
          <w:sz w:val="32"/>
          <w:szCs w:val="32"/>
          <w:rtl/>
          <w:lang/>
        </w:rPr>
        <w:t>و</w:t>
      </w:r>
      <w:r w:rsidR="008C10ED" w:rsidRPr="008C10ED">
        <w:rPr>
          <w:rFonts w:ascii="Traditional Arabic" w:hAnsi="Traditional Arabic" w:cs="Traditional Arabic"/>
          <w:color w:val="000000"/>
          <w:sz w:val="32"/>
          <w:szCs w:val="32"/>
          <w:rtl/>
          <w:lang/>
        </w:rPr>
        <w:t>نمو غير متوقع</w:t>
      </w:r>
      <w:r w:rsidR="008B60BC">
        <w:rPr>
          <w:rFonts w:ascii="Traditional Arabic" w:hAnsi="Traditional Arabic" w:cs="Traditional Arabic" w:hint="cs"/>
          <w:color w:val="000000"/>
          <w:sz w:val="32"/>
          <w:szCs w:val="32"/>
          <w:rtl/>
          <w:lang/>
        </w:rPr>
        <w:t>.</w:t>
      </w:r>
      <w:r w:rsidR="00147156">
        <w:rPr>
          <w:rFonts w:ascii="Traditional Arabic" w:hAnsi="Traditional Arabic" w:cs="Traditional Arabic" w:hint="cs"/>
          <w:color w:val="000000"/>
          <w:sz w:val="32"/>
          <w:szCs w:val="32"/>
          <w:rtl/>
          <w:lang/>
        </w:rPr>
        <w:t xml:space="preserve"> فلاحظنا أن كثيرا من هذه الأسباب يرجع إلى التقصير في الإدارة وكذلك التعدي وهو في حالة استخدام الأموال</w:t>
      </w:r>
      <w:r w:rsidR="000F53C5">
        <w:rPr>
          <w:rFonts w:ascii="Traditional Arabic" w:hAnsi="Traditional Arabic" w:cs="Traditional Arabic" w:hint="cs"/>
          <w:color w:val="000000"/>
          <w:sz w:val="32"/>
          <w:szCs w:val="32"/>
          <w:rtl/>
          <w:lang/>
        </w:rPr>
        <w:t xml:space="preserve"> (رأس المال)</w:t>
      </w:r>
      <w:r w:rsidR="00147156">
        <w:rPr>
          <w:rFonts w:ascii="Traditional Arabic" w:hAnsi="Traditional Arabic" w:cs="Traditional Arabic" w:hint="cs"/>
          <w:color w:val="000000"/>
          <w:sz w:val="32"/>
          <w:szCs w:val="32"/>
          <w:rtl/>
          <w:lang/>
        </w:rPr>
        <w:t xml:space="preserve"> للأغراض الشخصية.</w:t>
      </w:r>
      <w:r w:rsidR="008C10ED" w:rsidRPr="008C10ED">
        <w:rPr>
          <w:rFonts w:ascii="Traditional Arabic" w:hAnsi="Traditional Arabic" w:cs="Traditional Arabic"/>
          <w:color w:val="000000"/>
          <w:sz w:val="32"/>
          <w:szCs w:val="32"/>
          <w:rtl/>
          <w:lang/>
        </w:rPr>
        <w:br/>
      </w:r>
      <w:r w:rsidR="00646999">
        <w:rPr>
          <w:rFonts w:ascii="Traditional Arabic" w:hAnsi="Traditional Arabic" w:cs="Traditional Arabic"/>
          <w:vanish/>
          <w:sz w:val="32"/>
          <w:szCs w:val="32"/>
          <w:lang w:val="en-GB"/>
        </w:rPr>
        <w:t>Read phonetically</w:t>
      </w:r>
    </w:p>
    <w:p w:rsidR="00646999" w:rsidRDefault="00646999" w:rsidP="00646999">
      <w:pPr>
        <w:bidi/>
        <w:rPr>
          <w:rFonts w:ascii="Traditional Arabic" w:hAnsi="Traditional Arabic" w:cs="Traditional Arabic"/>
          <w:vanish/>
          <w:sz w:val="32"/>
          <w:szCs w:val="32"/>
          <w:lang w:val="en-GB"/>
        </w:rPr>
      </w:pPr>
      <w:r>
        <w:rPr>
          <w:rFonts w:ascii="Traditional Arabic" w:hAnsi="Traditional Arabic" w:cs="Traditional Arabic"/>
          <w:vanish/>
          <w:sz w:val="32"/>
          <w:szCs w:val="32"/>
          <w:lang w:val="en-GB"/>
        </w:rPr>
        <w:t> </w:t>
      </w:r>
    </w:p>
    <w:p w:rsidR="00646999" w:rsidRDefault="00646999" w:rsidP="00646999">
      <w:pPr>
        <w:bidi/>
        <w:rPr>
          <w:rFonts w:ascii="Traditional Arabic" w:hAnsi="Traditional Arabic" w:cs="Traditional Arabic"/>
          <w:vanish/>
          <w:sz w:val="32"/>
          <w:szCs w:val="32"/>
          <w:lang w:val="en-GB"/>
        </w:rPr>
      </w:pPr>
      <w:r>
        <w:rPr>
          <w:rFonts w:ascii="Traditional Arabic" w:hAnsi="Traditional Arabic" w:cs="Traditional Arabic"/>
          <w:vanish/>
          <w:sz w:val="32"/>
          <w:szCs w:val="32"/>
          <w:lang w:val="en-GB"/>
        </w:rPr>
        <w:t xml:space="preserve">Dictionary - </w:t>
      </w:r>
      <w:hyperlink r:id="rId12" w:history="1">
        <w:r>
          <w:rPr>
            <w:rStyle w:val="Hyperlink"/>
            <w:rFonts w:ascii="Traditional Arabic" w:hAnsi="Traditional Arabic" w:cs="Traditional Arabic"/>
            <w:vanish/>
            <w:sz w:val="32"/>
            <w:szCs w:val="32"/>
            <w:lang w:val="en-GB"/>
          </w:rPr>
          <w:t>View detailed dictionary</w:t>
        </w:r>
      </w:hyperlink>
    </w:p>
    <w:p w:rsidR="00646999" w:rsidRDefault="00646999" w:rsidP="00646999">
      <w:pPr>
        <w:numPr>
          <w:ilvl w:val="0"/>
          <w:numId w:val="2"/>
        </w:numPr>
        <w:bidi/>
        <w:rPr>
          <w:rFonts w:ascii="Traditional Arabic" w:hAnsi="Traditional Arabic" w:cs="Traditional Arabic"/>
          <w:b/>
          <w:bCs/>
          <w:vanish/>
          <w:sz w:val="32"/>
          <w:szCs w:val="32"/>
          <w:lang w:val="en-GB"/>
        </w:rPr>
      </w:pPr>
      <w:r>
        <w:rPr>
          <w:rFonts w:ascii="Traditional Arabic" w:hAnsi="Traditional Arabic" w:cs="Traditional Arabic"/>
          <w:b/>
          <w:bCs/>
          <w:vanish/>
          <w:sz w:val="32"/>
          <w:szCs w:val="32"/>
          <w:lang w:val="en-GB"/>
        </w:rPr>
        <w:t xml:space="preserve">noun </w:t>
      </w:r>
    </w:p>
    <w:p w:rsidR="00646999" w:rsidRDefault="00646999" w:rsidP="00646999">
      <w:pPr>
        <w:numPr>
          <w:ilvl w:val="1"/>
          <w:numId w:val="2"/>
        </w:numPr>
        <w:bidi/>
        <w:rPr>
          <w:rFonts w:ascii="Traditional Arabic" w:hAnsi="Traditional Arabic" w:cs="Traditional Arabic"/>
          <w:vanish/>
          <w:sz w:val="32"/>
          <w:szCs w:val="32"/>
          <w:lang w:val="en-GB"/>
        </w:rPr>
      </w:pPr>
      <w:r>
        <w:rPr>
          <w:rFonts w:ascii="Traditional Arabic" w:hAnsi="Traditional Arabic" w:cs="Traditional Arabic"/>
          <w:vanish/>
          <w:sz w:val="32"/>
          <w:szCs w:val="32"/>
          <w:rtl/>
          <w:lang w:val="en-GB"/>
        </w:rPr>
        <w:t>عرين</w:t>
      </w:r>
    </w:p>
    <w:p w:rsidR="00646999" w:rsidRDefault="00646999" w:rsidP="00646999">
      <w:pPr>
        <w:numPr>
          <w:ilvl w:val="1"/>
          <w:numId w:val="2"/>
        </w:numPr>
        <w:bidi/>
        <w:rPr>
          <w:rFonts w:ascii="Traditional Arabic" w:hAnsi="Traditional Arabic" w:cs="Traditional Arabic"/>
          <w:vanish/>
          <w:sz w:val="32"/>
          <w:szCs w:val="32"/>
          <w:lang w:val="en-GB"/>
        </w:rPr>
      </w:pPr>
      <w:r>
        <w:rPr>
          <w:rFonts w:ascii="Traditional Arabic" w:hAnsi="Traditional Arabic" w:cs="Traditional Arabic"/>
          <w:vanish/>
          <w:sz w:val="32"/>
          <w:szCs w:val="32"/>
          <w:rtl/>
          <w:lang w:val="en-GB"/>
        </w:rPr>
        <w:t>وكر</w:t>
      </w:r>
    </w:p>
    <w:p w:rsidR="00646999" w:rsidRDefault="00646999" w:rsidP="00646999">
      <w:pPr>
        <w:numPr>
          <w:ilvl w:val="1"/>
          <w:numId w:val="2"/>
        </w:numPr>
        <w:bidi/>
        <w:rPr>
          <w:rFonts w:ascii="Traditional Arabic" w:hAnsi="Traditional Arabic" w:cs="Traditional Arabic"/>
          <w:vanish/>
          <w:sz w:val="32"/>
          <w:szCs w:val="32"/>
          <w:lang w:val="en-GB"/>
        </w:rPr>
      </w:pPr>
      <w:r>
        <w:rPr>
          <w:rFonts w:ascii="Traditional Arabic" w:hAnsi="Traditional Arabic" w:cs="Traditional Arabic"/>
          <w:vanish/>
          <w:sz w:val="32"/>
          <w:szCs w:val="32"/>
          <w:rtl/>
          <w:lang w:val="en-GB"/>
        </w:rPr>
        <w:t>وكر حرامية</w:t>
      </w:r>
    </w:p>
    <w:p w:rsidR="00646999" w:rsidRDefault="00646999" w:rsidP="00646999">
      <w:pPr>
        <w:numPr>
          <w:ilvl w:val="1"/>
          <w:numId w:val="2"/>
        </w:numPr>
        <w:bidi/>
        <w:rPr>
          <w:rFonts w:ascii="Traditional Arabic" w:hAnsi="Traditional Arabic" w:cs="Traditional Arabic"/>
          <w:vanish/>
          <w:sz w:val="32"/>
          <w:szCs w:val="32"/>
          <w:lang w:val="en-GB"/>
        </w:rPr>
      </w:pPr>
      <w:r>
        <w:rPr>
          <w:rFonts w:ascii="Traditional Arabic" w:hAnsi="Traditional Arabic" w:cs="Traditional Arabic"/>
          <w:vanish/>
          <w:sz w:val="32"/>
          <w:szCs w:val="32"/>
          <w:rtl/>
          <w:lang w:val="en-GB"/>
        </w:rPr>
        <w:t>حجرة قذرة</w:t>
      </w:r>
    </w:p>
    <w:p w:rsidR="00646999" w:rsidRDefault="00646999" w:rsidP="00646999">
      <w:pPr>
        <w:numPr>
          <w:ilvl w:val="1"/>
          <w:numId w:val="2"/>
        </w:numPr>
        <w:bidi/>
        <w:rPr>
          <w:rFonts w:ascii="Traditional Arabic" w:hAnsi="Traditional Arabic" w:cs="Traditional Arabic"/>
          <w:vanish/>
          <w:sz w:val="32"/>
          <w:szCs w:val="32"/>
          <w:lang w:val="en-GB"/>
        </w:rPr>
      </w:pPr>
      <w:r>
        <w:rPr>
          <w:rFonts w:ascii="Traditional Arabic" w:hAnsi="Traditional Arabic" w:cs="Traditional Arabic"/>
          <w:vanish/>
          <w:sz w:val="32"/>
          <w:szCs w:val="32"/>
          <w:rtl/>
          <w:lang w:val="en-GB"/>
        </w:rPr>
        <w:t>المختلى</w:t>
      </w:r>
    </w:p>
    <w:p w:rsidR="00646999" w:rsidRDefault="00646999" w:rsidP="00646999">
      <w:pPr>
        <w:numPr>
          <w:ilvl w:val="0"/>
          <w:numId w:val="2"/>
        </w:numPr>
        <w:bidi/>
        <w:rPr>
          <w:rFonts w:ascii="Traditional Arabic" w:hAnsi="Traditional Arabic" w:cs="Traditional Arabic"/>
          <w:b/>
          <w:bCs/>
          <w:vanish/>
          <w:sz w:val="32"/>
          <w:szCs w:val="32"/>
          <w:lang w:val="en-GB"/>
        </w:rPr>
      </w:pPr>
      <w:r>
        <w:rPr>
          <w:rFonts w:ascii="Traditional Arabic" w:hAnsi="Traditional Arabic" w:cs="Traditional Arabic"/>
          <w:b/>
          <w:bCs/>
          <w:vanish/>
          <w:sz w:val="32"/>
          <w:szCs w:val="32"/>
          <w:lang w:val="en-GB"/>
        </w:rPr>
        <w:t xml:space="preserve">verb </w:t>
      </w:r>
    </w:p>
    <w:p w:rsidR="00646999" w:rsidRDefault="00646999" w:rsidP="00646999">
      <w:pPr>
        <w:numPr>
          <w:ilvl w:val="1"/>
          <w:numId w:val="2"/>
        </w:numPr>
        <w:bidi/>
        <w:rPr>
          <w:rFonts w:ascii="Traditional Arabic" w:hAnsi="Traditional Arabic" w:cs="Traditional Arabic"/>
          <w:vanish/>
          <w:sz w:val="32"/>
          <w:szCs w:val="32"/>
          <w:lang w:val="en-GB"/>
        </w:rPr>
      </w:pPr>
      <w:r>
        <w:rPr>
          <w:rFonts w:ascii="Traditional Arabic" w:hAnsi="Traditional Arabic" w:cs="Traditional Arabic"/>
          <w:vanish/>
          <w:sz w:val="32"/>
          <w:szCs w:val="32"/>
          <w:rtl/>
          <w:lang w:val="en-GB"/>
        </w:rPr>
        <w:t>حيي في وكر</w:t>
      </w:r>
    </w:p>
    <w:p w:rsidR="004C1AE9" w:rsidRDefault="004C1AE9" w:rsidP="006174FB">
      <w:pPr>
        <w:bidi/>
        <w:rPr>
          <w:rFonts w:ascii="Traditional Arabic" w:hAnsi="Traditional Arabic" w:cs="Traditional Arabic" w:hint="cs"/>
          <w:b/>
          <w:bCs/>
          <w:sz w:val="28"/>
          <w:szCs w:val="28"/>
          <w:rtl/>
          <w:lang w:val="en-US"/>
        </w:rPr>
      </w:pPr>
    </w:p>
    <w:p w:rsidR="00646999" w:rsidRPr="00703481" w:rsidRDefault="00646999" w:rsidP="004C1AE9">
      <w:pPr>
        <w:bidi/>
        <w:rPr>
          <w:rFonts w:ascii="Traditional Arabic" w:hAnsi="Traditional Arabic" w:cs="Traditional Arabic"/>
          <w:b/>
          <w:bCs/>
          <w:sz w:val="32"/>
          <w:szCs w:val="32"/>
          <w:lang w:val="en-US"/>
        </w:rPr>
      </w:pPr>
      <w:r w:rsidRPr="00703481">
        <w:rPr>
          <w:rFonts w:ascii="Traditional Arabic" w:hAnsi="Traditional Arabic" w:cs="Traditional Arabic"/>
          <w:b/>
          <w:bCs/>
          <w:sz w:val="32"/>
          <w:szCs w:val="32"/>
          <w:rtl/>
          <w:lang w:val="en-US"/>
        </w:rPr>
        <w:t>حكم إلزام الضمان على المضارب عند الفقهاء</w:t>
      </w:r>
    </w:p>
    <w:p w:rsidR="00646999" w:rsidRPr="00703481" w:rsidRDefault="00646999" w:rsidP="00646999">
      <w:pPr>
        <w:bidi/>
        <w:rPr>
          <w:rFonts w:ascii="Traditional Arabic" w:hAnsi="Traditional Arabic" w:cs="Traditional Arabic"/>
          <w:sz w:val="32"/>
          <w:szCs w:val="32"/>
          <w:rtl/>
          <w:lang w:val="en-US"/>
        </w:rPr>
      </w:pPr>
      <w:r w:rsidRPr="00703481">
        <w:rPr>
          <w:rFonts w:ascii="Traditional Arabic" w:hAnsi="Traditional Arabic" w:cs="Traditional Arabic"/>
          <w:sz w:val="32"/>
          <w:szCs w:val="32"/>
          <w:rtl/>
          <w:lang w:val="en-US"/>
        </w:rPr>
        <w:t xml:space="preserve">يتناول الباحث في هذا المقام حكم إلزام الضمان على العامل في عقد المضاربة ذاكرا أقوال الفقهاء في المسألة وعارضا أدلتهم. </w:t>
      </w:r>
    </w:p>
    <w:p w:rsidR="00646999" w:rsidRPr="00703481" w:rsidRDefault="00646999" w:rsidP="00646999">
      <w:pPr>
        <w:bidi/>
        <w:rPr>
          <w:rFonts w:ascii="Traditional Arabic" w:hAnsi="Traditional Arabic" w:cs="Traditional Arabic"/>
          <w:sz w:val="32"/>
          <w:szCs w:val="32"/>
          <w:rtl/>
          <w:lang w:val="en-US"/>
        </w:rPr>
      </w:pPr>
      <w:r w:rsidRPr="00703481">
        <w:rPr>
          <w:rFonts w:ascii="Traditional Arabic" w:hAnsi="Traditional Arabic" w:cs="Traditional Arabic"/>
          <w:sz w:val="32"/>
          <w:szCs w:val="32"/>
          <w:rtl/>
          <w:lang w:val="en-US"/>
        </w:rPr>
        <w:t>وقبل البحث في صلب المسألة يجدر بالذكر أن الأصل في باب المضاربة أن يد المضارب يد الأمانة بمعنى أنه أمين وأن رأس المال أمانة في يده، فشأنه شأن الوكيل والوديع وسائر الأمناء.</w:t>
      </w:r>
    </w:p>
    <w:p w:rsidR="00646999" w:rsidRPr="00703481" w:rsidRDefault="00646999" w:rsidP="00646999">
      <w:pPr>
        <w:bidi/>
        <w:rPr>
          <w:rFonts w:ascii="Traditional Arabic" w:hAnsi="Traditional Arabic" w:cs="Traditional Arabic"/>
          <w:sz w:val="32"/>
          <w:szCs w:val="32"/>
          <w:rtl/>
        </w:rPr>
      </w:pPr>
      <w:r w:rsidRPr="00703481">
        <w:rPr>
          <w:rFonts w:ascii="Traditional Arabic" w:hAnsi="Traditional Arabic" w:cs="Traditional Arabic"/>
          <w:sz w:val="32"/>
          <w:szCs w:val="32"/>
          <w:rtl/>
          <w:lang w:val="en-US"/>
        </w:rPr>
        <w:t>قال ابن المنذر: "</w:t>
      </w:r>
      <w:r w:rsidRPr="00703481">
        <w:rPr>
          <w:rFonts w:ascii="Traditional Arabic" w:hAnsi="Traditional Arabic" w:cs="Traditional Arabic"/>
          <w:sz w:val="32"/>
          <w:szCs w:val="32"/>
          <w:rtl/>
        </w:rPr>
        <w:t xml:space="preserve"> أجمع كل من نحفظ عنهم من أهل العلم أن القول قول العامل في قدر رأس المال"</w:t>
      </w:r>
      <w:r w:rsidRPr="00703481">
        <w:rPr>
          <w:rStyle w:val="a4"/>
          <w:rFonts w:ascii="Traditional Arabic" w:hAnsi="Traditional Arabic" w:cs="Traditional Arabic"/>
          <w:sz w:val="32"/>
          <w:szCs w:val="32"/>
          <w:rtl/>
        </w:rPr>
        <w:footnoteReference w:id="11"/>
      </w:r>
      <w:r w:rsidRPr="00703481">
        <w:rPr>
          <w:rFonts w:ascii="Traditional Arabic" w:hAnsi="Traditional Arabic" w:cs="Traditional Arabic"/>
          <w:sz w:val="32"/>
          <w:szCs w:val="32"/>
          <w:rtl/>
        </w:rPr>
        <w:t xml:space="preserve">. </w:t>
      </w:r>
    </w:p>
    <w:p w:rsidR="002C028C" w:rsidRDefault="002C028C" w:rsidP="00646999">
      <w:pPr>
        <w:bidi/>
        <w:rPr>
          <w:rFonts w:ascii="Traditional Arabic" w:hAnsi="Traditional Arabic" w:cs="Traditional Arabic" w:hint="cs"/>
          <w:sz w:val="32"/>
          <w:szCs w:val="32"/>
          <w:rtl/>
        </w:rPr>
      </w:pPr>
    </w:p>
    <w:p w:rsidR="00646999" w:rsidRPr="00703481" w:rsidRDefault="00646999" w:rsidP="002C028C">
      <w:pPr>
        <w:bidi/>
        <w:rPr>
          <w:rFonts w:ascii="Traditional Arabic" w:hAnsi="Traditional Arabic" w:cs="Traditional Arabic"/>
          <w:sz w:val="32"/>
          <w:szCs w:val="32"/>
          <w:rtl/>
        </w:rPr>
      </w:pPr>
      <w:r w:rsidRPr="00703481">
        <w:rPr>
          <w:rFonts w:ascii="Traditional Arabic" w:hAnsi="Traditional Arabic" w:cs="Traditional Arabic"/>
          <w:sz w:val="32"/>
          <w:szCs w:val="32"/>
          <w:rtl/>
        </w:rPr>
        <w:lastRenderedPageBreak/>
        <w:t>وقال الباجي: "أن العامل يأخذ المال القراض ويعمل فيه ولا يكون عليه الضمان وإنما هو من ضمان رب المال ولا خلاف في ذلك"</w:t>
      </w:r>
      <w:r w:rsidRPr="00703481">
        <w:rPr>
          <w:rStyle w:val="a4"/>
          <w:rFonts w:ascii="Traditional Arabic" w:hAnsi="Traditional Arabic" w:cs="Traditional Arabic"/>
          <w:sz w:val="32"/>
          <w:szCs w:val="32"/>
          <w:rtl/>
        </w:rPr>
        <w:footnoteReference w:id="12"/>
      </w:r>
      <w:r w:rsidRPr="00703481">
        <w:rPr>
          <w:rFonts w:ascii="Traditional Arabic" w:hAnsi="Traditional Arabic" w:cs="Traditional Arabic"/>
          <w:sz w:val="32"/>
          <w:szCs w:val="32"/>
          <w:rtl/>
        </w:rPr>
        <w:t>.</w:t>
      </w:r>
    </w:p>
    <w:p w:rsidR="00646999" w:rsidRPr="00703481" w:rsidRDefault="00646999" w:rsidP="00646999">
      <w:pPr>
        <w:bidi/>
        <w:rPr>
          <w:rFonts w:ascii="Traditional Arabic" w:hAnsi="Traditional Arabic" w:cs="Traditional Arabic"/>
          <w:sz w:val="32"/>
          <w:szCs w:val="32"/>
          <w:rtl/>
        </w:rPr>
      </w:pPr>
      <w:r w:rsidRPr="00703481">
        <w:rPr>
          <w:rFonts w:ascii="Traditional Arabic" w:hAnsi="Traditional Arabic" w:cs="Traditional Arabic"/>
          <w:sz w:val="32"/>
          <w:szCs w:val="32"/>
          <w:rtl/>
        </w:rPr>
        <w:t>ومعنى كون يد المضارب يد أمانة أنه أمين لا يتحمل ما يقع من خسارة أو تلف ما تحت يده من الأموال، إلا بالتعدي أو التقصير.</w:t>
      </w:r>
    </w:p>
    <w:p w:rsidR="00646999" w:rsidRPr="00703481" w:rsidRDefault="00646999" w:rsidP="00DD3529">
      <w:pPr>
        <w:bidi/>
        <w:rPr>
          <w:rFonts w:ascii="Traditional Arabic" w:hAnsi="Traditional Arabic" w:cs="Traditional Arabic"/>
          <w:sz w:val="32"/>
          <w:szCs w:val="32"/>
          <w:rtl/>
          <w:lang w:val="en-US"/>
        </w:rPr>
      </w:pPr>
      <w:r w:rsidRPr="00703481">
        <w:rPr>
          <w:rFonts w:ascii="Traditional Arabic" w:hAnsi="Traditional Arabic" w:cs="Traditional Arabic"/>
          <w:sz w:val="32"/>
          <w:szCs w:val="32"/>
          <w:rtl/>
          <w:lang w:val="en-US"/>
        </w:rPr>
        <w:t>أما الكلام في مسألتنا وهي حكم إلزام الضمان على المضارب، فقد اختلف</w:t>
      </w:r>
      <w:r w:rsidRPr="00703481">
        <w:rPr>
          <w:rFonts w:ascii="Traditional Arabic" w:hAnsi="Traditional Arabic" w:cs="Traditional Arabic"/>
          <w:sz w:val="32"/>
          <w:szCs w:val="32"/>
          <w:lang w:val="en-US"/>
        </w:rPr>
        <w:t xml:space="preserve"> </w:t>
      </w:r>
      <w:r w:rsidRPr="00703481">
        <w:rPr>
          <w:rFonts w:ascii="Traditional Arabic" w:hAnsi="Traditional Arabic" w:cs="Traditional Arabic"/>
          <w:sz w:val="32"/>
          <w:szCs w:val="32"/>
          <w:rtl/>
          <w:lang w:val="en-US"/>
        </w:rPr>
        <w:t>الفقهاء إلى قولين:</w:t>
      </w:r>
    </w:p>
    <w:p w:rsidR="00646999" w:rsidRPr="00703481" w:rsidRDefault="00646999" w:rsidP="00DD3529">
      <w:pPr>
        <w:bidi/>
        <w:rPr>
          <w:rFonts w:ascii="Traditional Arabic" w:hAnsi="Traditional Arabic" w:cs="Traditional Arabic"/>
          <w:b/>
          <w:bCs/>
          <w:sz w:val="32"/>
          <w:szCs w:val="32"/>
          <w:rtl/>
          <w:lang w:val="en-US"/>
        </w:rPr>
      </w:pPr>
      <w:r w:rsidRPr="00703481">
        <w:rPr>
          <w:rFonts w:ascii="Traditional Arabic" w:hAnsi="Traditional Arabic" w:cs="Traditional Arabic"/>
          <w:b/>
          <w:bCs/>
          <w:sz w:val="32"/>
          <w:szCs w:val="32"/>
          <w:rtl/>
          <w:lang w:val="en-US"/>
        </w:rPr>
        <w:t>القول الأول: عدم جواز الضمان.</w:t>
      </w:r>
    </w:p>
    <w:p w:rsidR="00646999" w:rsidRPr="00703481" w:rsidRDefault="00646999" w:rsidP="00703481">
      <w:pPr>
        <w:bidi/>
        <w:rPr>
          <w:rFonts w:ascii="Traditional Arabic" w:hAnsi="Traditional Arabic" w:cs="Traditional Arabic"/>
          <w:sz w:val="32"/>
          <w:szCs w:val="32"/>
          <w:rtl/>
          <w:lang w:val="en-US"/>
        </w:rPr>
      </w:pPr>
      <w:r w:rsidRPr="00703481">
        <w:rPr>
          <w:rFonts w:ascii="Traditional Arabic" w:hAnsi="Traditional Arabic" w:cs="Traditional Arabic"/>
          <w:sz w:val="32"/>
          <w:szCs w:val="32"/>
          <w:rtl/>
          <w:lang w:val="en-US"/>
        </w:rPr>
        <w:t>هذا القول ذهب إليه جماهير أهل العلم من الحنفية</w:t>
      </w:r>
      <w:r w:rsidRPr="00703481">
        <w:rPr>
          <w:rStyle w:val="a4"/>
          <w:rFonts w:ascii="Traditional Arabic" w:hAnsi="Traditional Arabic" w:cs="Traditional Arabic"/>
          <w:sz w:val="32"/>
          <w:szCs w:val="32"/>
          <w:rtl/>
          <w:lang w:val="en-US"/>
        </w:rPr>
        <w:footnoteReference w:id="13"/>
      </w:r>
      <w:r w:rsidRPr="00703481">
        <w:rPr>
          <w:rFonts w:ascii="Traditional Arabic" w:hAnsi="Traditional Arabic" w:cs="Traditional Arabic"/>
          <w:sz w:val="32"/>
          <w:szCs w:val="32"/>
          <w:rtl/>
          <w:lang w:val="en-US"/>
        </w:rPr>
        <w:t xml:space="preserve"> والمالكية</w:t>
      </w:r>
      <w:r w:rsidRPr="00703481">
        <w:rPr>
          <w:rStyle w:val="a4"/>
          <w:rFonts w:ascii="Traditional Arabic" w:hAnsi="Traditional Arabic" w:cs="Traditional Arabic"/>
          <w:sz w:val="32"/>
          <w:szCs w:val="32"/>
          <w:rtl/>
          <w:lang w:val="en-US"/>
        </w:rPr>
        <w:footnoteReference w:id="14"/>
      </w:r>
      <w:r w:rsidRPr="00703481">
        <w:rPr>
          <w:rFonts w:ascii="Traditional Arabic" w:hAnsi="Traditional Arabic" w:cs="Traditional Arabic"/>
          <w:sz w:val="32"/>
          <w:szCs w:val="32"/>
          <w:rtl/>
          <w:lang w:val="en-US"/>
        </w:rPr>
        <w:t xml:space="preserve"> والشافعية والحنابلة</w:t>
      </w:r>
      <w:r w:rsidR="00703481">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15"/>
      </w:r>
    </w:p>
    <w:p w:rsidR="00646999" w:rsidRPr="00703481" w:rsidRDefault="00646999" w:rsidP="00646999">
      <w:pPr>
        <w:bidi/>
        <w:rPr>
          <w:rFonts w:ascii="Traditional Arabic" w:hAnsi="Traditional Arabic" w:cs="Traditional Arabic"/>
          <w:sz w:val="32"/>
          <w:szCs w:val="32"/>
          <w:lang w:val="en-US"/>
        </w:rPr>
      </w:pPr>
      <w:r w:rsidRPr="00703481">
        <w:rPr>
          <w:rFonts w:ascii="Traditional Arabic" w:hAnsi="Traditional Arabic" w:cs="Traditional Arabic"/>
          <w:sz w:val="32"/>
          <w:szCs w:val="32"/>
          <w:rtl/>
          <w:lang w:val="en-US"/>
        </w:rPr>
        <w:t>واستدلوا على ما ذهبوا إليه بما يلي:</w:t>
      </w:r>
    </w:p>
    <w:p w:rsidR="00646999" w:rsidRPr="00703481" w:rsidRDefault="00646999" w:rsidP="00703481">
      <w:pPr>
        <w:bidi/>
        <w:rPr>
          <w:rFonts w:ascii="Traditional Arabic" w:hAnsi="Traditional Arabic" w:cs="Traditional Arabic"/>
          <w:sz w:val="32"/>
          <w:szCs w:val="32"/>
          <w:lang w:val="en-US"/>
        </w:rPr>
      </w:pPr>
      <w:r w:rsidRPr="00703481">
        <w:rPr>
          <w:rFonts w:ascii="Traditional Arabic" w:hAnsi="Traditional Arabic" w:cs="Traditional Arabic"/>
          <w:b/>
          <w:bCs/>
          <w:sz w:val="32"/>
          <w:szCs w:val="32"/>
          <w:rtl/>
          <w:lang w:val="en-US"/>
        </w:rPr>
        <w:t>أولا</w:t>
      </w:r>
      <w:r w:rsidRPr="00703481">
        <w:rPr>
          <w:rFonts w:ascii="Traditional Arabic" w:hAnsi="Traditional Arabic" w:cs="Traditional Arabic"/>
          <w:sz w:val="32"/>
          <w:szCs w:val="32"/>
          <w:rtl/>
          <w:lang w:val="en-US"/>
        </w:rPr>
        <w:t>: أن الأصل في طبيعة المضاربة كون المضارب أمينا لا يضمن. فإلزامه الضمان يفضي إلى تغيير صورة المضاربة وطبيعتها. يقول الباجي مبينا طبيعة هذا العقد: "إن من سنَّة القراض ما قدَّمناه من أن العامل يأخذ المال القراض ويعمل فيه ولا يكون عليه الضمان وإنما هو من ضمان رب المال ولا خلاف في ذلك"</w:t>
      </w:r>
      <w:r w:rsidR="00703481">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16"/>
      </w:r>
      <w:r w:rsidRPr="00703481">
        <w:rPr>
          <w:rFonts w:ascii="Traditional Arabic" w:hAnsi="Traditional Arabic" w:cs="Traditional Arabic"/>
          <w:sz w:val="32"/>
          <w:szCs w:val="32"/>
          <w:rtl/>
          <w:lang w:val="en-US"/>
        </w:rPr>
        <w:t xml:space="preserve"> </w:t>
      </w:r>
    </w:p>
    <w:p w:rsidR="00646999" w:rsidRDefault="00646999" w:rsidP="00703481">
      <w:pPr>
        <w:bidi/>
        <w:rPr>
          <w:rFonts w:ascii="Traditional Arabic" w:hAnsi="Traditional Arabic" w:cs="Traditional Arabic" w:hint="cs"/>
          <w:sz w:val="32"/>
          <w:szCs w:val="32"/>
          <w:rtl/>
          <w:lang w:val="en-US"/>
        </w:rPr>
      </w:pPr>
      <w:r w:rsidRPr="00703481">
        <w:rPr>
          <w:rFonts w:ascii="Traditional Arabic" w:hAnsi="Traditional Arabic" w:cs="Traditional Arabic"/>
          <w:b/>
          <w:bCs/>
          <w:sz w:val="32"/>
          <w:szCs w:val="32"/>
          <w:rtl/>
          <w:lang w:val="en-US"/>
        </w:rPr>
        <w:t>ثانيا</w:t>
      </w:r>
      <w:r w:rsidRPr="00703481">
        <w:rPr>
          <w:rFonts w:ascii="Traditional Arabic" w:hAnsi="Traditional Arabic" w:cs="Traditional Arabic"/>
          <w:sz w:val="32"/>
          <w:szCs w:val="32"/>
          <w:rtl/>
          <w:lang w:val="en-US"/>
        </w:rPr>
        <w:t>: أن اشتراط الضمان على المضارب يخالف مقتضى العقد في المضاربة الذي هو الأمانة</w:t>
      </w:r>
      <w:r w:rsidR="00703481">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17"/>
      </w:r>
      <w:r w:rsidRPr="00703481">
        <w:rPr>
          <w:rFonts w:ascii="Traditional Arabic" w:hAnsi="Traditional Arabic" w:cs="Traditional Arabic"/>
          <w:sz w:val="32"/>
          <w:szCs w:val="32"/>
          <w:rtl/>
          <w:lang w:val="en-US"/>
        </w:rPr>
        <w:t xml:space="preserve"> </w:t>
      </w:r>
    </w:p>
    <w:p w:rsidR="00E01C04" w:rsidRPr="00703481" w:rsidRDefault="00E01C04" w:rsidP="00E01C04">
      <w:pPr>
        <w:bidi/>
        <w:rPr>
          <w:rFonts w:ascii="Traditional Arabic" w:hAnsi="Traditional Arabic" w:cs="Traditional Arabic"/>
          <w:sz w:val="32"/>
          <w:szCs w:val="32"/>
          <w:rtl/>
          <w:lang w:val="en-US"/>
        </w:rPr>
      </w:pPr>
      <w:r>
        <w:rPr>
          <w:rFonts w:ascii="Traditional Arabic" w:hAnsi="Traditional Arabic" w:cs="Traditional Arabic" w:hint="cs"/>
          <w:sz w:val="32"/>
          <w:szCs w:val="32"/>
          <w:rtl/>
          <w:lang w:val="en-US"/>
        </w:rPr>
        <w:t>وفصّل السرخسي المقصود بمقتضى العقد هنا بقوله: "المقصود بهذا العقد الشركة في الربح وكل شرط يؤدي إلى قطع الشركة في الربح بينهما مع حصوله فهو مُبطل للعقد لأنه مفوّت لموجَب العقد..."</w:t>
      </w:r>
      <w:r>
        <w:rPr>
          <w:rStyle w:val="a4"/>
          <w:rFonts w:ascii="Traditional Arabic" w:hAnsi="Traditional Arabic" w:cs="Traditional Arabic"/>
          <w:sz w:val="32"/>
          <w:szCs w:val="32"/>
          <w:rtl/>
          <w:lang w:val="en-US"/>
        </w:rPr>
        <w:footnoteReference w:id="18"/>
      </w:r>
    </w:p>
    <w:p w:rsidR="00646999" w:rsidRPr="00703481" w:rsidRDefault="00E01C04" w:rsidP="00703481">
      <w:pPr>
        <w:bidi/>
        <w:rPr>
          <w:rFonts w:ascii="Traditional Arabic" w:hAnsi="Traditional Arabic" w:cs="Traditional Arabic"/>
          <w:sz w:val="32"/>
          <w:szCs w:val="32"/>
          <w:rtl/>
          <w:lang w:val="en-US"/>
        </w:rPr>
      </w:pPr>
      <w:r>
        <w:rPr>
          <w:rFonts w:ascii="Traditional Arabic" w:hAnsi="Traditional Arabic" w:cs="Traditional Arabic" w:hint="cs"/>
          <w:sz w:val="32"/>
          <w:szCs w:val="32"/>
          <w:rtl/>
          <w:lang w:val="en-US"/>
        </w:rPr>
        <w:lastRenderedPageBreak/>
        <w:t>و</w:t>
      </w:r>
      <w:r w:rsidR="00646999" w:rsidRPr="00703481">
        <w:rPr>
          <w:rFonts w:ascii="Traditional Arabic" w:hAnsi="Traditional Arabic" w:cs="Traditional Arabic"/>
          <w:sz w:val="32"/>
          <w:szCs w:val="32"/>
          <w:rtl/>
          <w:lang w:val="en-US"/>
        </w:rPr>
        <w:t>يقول الباجي: "أن عقد القراض لا يقتضي ضمان العامل، وإنما يقتضي الأمانة ولا خلاف في ذلك. فلذلك إذا شرط نقل الضمان عن محله بإجماع اقتضى ذلك فساد العقد والشرط"</w:t>
      </w:r>
      <w:r w:rsidR="00703481">
        <w:rPr>
          <w:rFonts w:ascii="Traditional Arabic" w:hAnsi="Traditional Arabic" w:cs="Traditional Arabic" w:hint="cs"/>
          <w:sz w:val="32"/>
          <w:szCs w:val="32"/>
          <w:rtl/>
          <w:lang w:val="en-US"/>
        </w:rPr>
        <w:t>.</w:t>
      </w:r>
      <w:r w:rsidR="00646999" w:rsidRPr="00703481">
        <w:rPr>
          <w:rStyle w:val="a4"/>
          <w:rFonts w:ascii="Traditional Arabic" w:hAnsi="Traditional Arabic" w:cs="Traditional Arabic"/>
          <w:sz w:val="32"/>
          <w:szCs w:val="32"/>
          <w:rtl/>
          <w:lang w:val="en-US"/>
        </w:rPr>
        <w:footnoteReference w:id="19"/>
      </w:r>
    </w:p>
    <w:p w:rsidR="00646999" w:rsidRPr="00703481" w:rsidRDefault="00646999" w:rsidP="00646999">
      <w:pPr>
        <w:bidi/>
        <w:rPr>
          <w:rFonts w:ascii="Traditional Arabic" w:hAnsi="Traditional Arabic" w:cs="Traditional Arabic"/>
          <w:sz w:val="32"/>
          <w:szCs w:val="32"/>
          <w:lang w:val="en-US"/>
        </w:rPr>
      </w:pPr>
      <w:r w:rsidRPr="00703481">
        <w:rPr>
          <w:rFonts w:ascii="Traditional Arabic" w:hAnsi="Traditional Arabic" w:cs="Traditional Arabic"/>
          <w:sz w:val="32"/>
          <w:szCs w:val="32"/>
          <w:rtl/>
          <w:lang w:val="en-US"/>
        </w:rPr>
        <w:t>ويقول ابن قدامة المقدسي: "أن كل عقد اقتضى الضمان لم يغيره الشرط كالمقبوض ببيع صحيح أو فاسد، وما اقتضى الأمانة فكذلك كالوديعة والشركة والمضاربة"</w:t>
      </w:r>
      <w:r w:rsidRPr="00703481">
        <w:rPr>
          <w:rStyle w:val="a4"/>
          <w:rFonts w:ascii="Traditional Arabic" w:hAnsi="Traditional Arabic" w:cs="Traditional Arabic"/>
          <w:sz w:val="32"/>
          <w:szCs w:val="32"/>
          <w:rtl/>
          <w:lang w:val="en-US"/>
        </w:rPr>
        <w:footnoteReference w:id="20"/>
      </w:r>
      <w:r w:rsidRPr="00703481">
        <w:rPr>
          <w:rFonts w:ascii="Traditional Arabic" w:hAnsi="Traditional Arabic" w:cs="Traditional Arabic"/>
          <w:sz w:val="32"/>
          <w:szCs w:val="32"/>
          <w:rtl/>
          <w:lang w:val="en-US"/>
        </w:rPr>
        <w:t>.</w:t>
      </w:r>
    </w:p>
    <w:p w:rsidR="00646999" w:rsidRPr="00703481" w:rsidRDefault="00646999" w:rsidP="006E4AB4">
      <w:pPr>
        <w:bidi/>
        <w:rPr>
          <w:rFonts w:ascii="Traditional Arabic" w:hAnsi="Traditional Arabic" w:cs="Traditional Arabic"/>
          <w:sz w:val="32"/>
          <w:szCs w:val="32"/>
          <w:rtl/>
          <w:lang w:val="en-US"/>
        </w:rPr>
      </w:pPr>
      <w:r w:rsidRPr="00703481">
        <w:rPr>
          <w:rFonts w:ascii="Traditional Arabic" w:hAnsi="Traditional Arabic" w:cs="Traditional Arabic"/>
          <w:sz w:val="32"/>
          <w:szCs w:val="32"/>
          <w:rtl/>
          <w:lang w:val="en-US"/>
        </w:rPr>
        <w:t>فإذا تقرّر أن مقتضى العقد في المضاربة عدم ضمان المضارب، فاشتراط الضمان عليه فاسد إذ علم أن من مفسدات الشروط عند طائفة من أهل العلم  كونها مخالفة لمقتضى العقود. وقد أشار إليه ابن تيمية بقول: "ويقولون -يعني أصحاب الإمام أحمد- ما خالف مقتضى العقد فهو باطل"</w:t>
      </w:r>
      <w:r w:rsidR="006E4AB4">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21"/>
      </w:r>
    </w:p>
    <w:p w:rsidR="00646999" w:rsidRPr="00703481" w:rsidRDefault="00646999" w:rsidP="00646999">
      <w:pPr>
        <w:bidi/>
        <w:rPr>
          <w:rFonts w:ascii="Traditional Arabic" w:hAnsi="Traditional Arabic" w:cs="Traditional Arabic"/>
          <w:sz w:val="32"/>
          <w:szCs w:val="32"/>
          <w:rtl/>
          <w:lang w:val="en-US"/>
        </w:rPr>
      </w:pPr>
      <w:r w:rsidRPr="00703481">
        <w:rPr>
          <w:rFonts w:ascii="Traditional Arabic" w:hAnsi="Traditional Arabic" w:cs="Traditional Arabic"/>
          <w:b/>
          <w:bCs/>
          <w:sz w:val="32"/>
          <w:szCs w:val="32"/>
          <w:rtl/>
          <w:lang w:val="en-US"/>
        </w:rPr>
        <w:t>ثالثا</w:t>
      </w:r>
      <w:r w:rsidRPr="00703481">
        <w:rPr>
          <w:rFonts w:ascii="Traditional Arabic" w:hAnsi="Traditional Arabic" w:cs="Traditional Arabic"/>
          <w:sz w:val="32"/>
          <w:szCs w:val="32"/>
          <w:rtl/>
          <w:lang w:val="en-US"/>
        </w:rPr>
        <w:t>: أن اشتراط ضمان رأس المال على المضارب يقلب العقد من كونه مضاربة إلى كونه قرضا، ويحوّل المضارب من كونه وكيلا أمينا إلى كونه مقترضا ضامنا فلا يجوز، لأن هذه المعاملة في حقيقتها قرض يجرُّ نفعا. وقد علم  بالضرورة أن العبرة في العقود بالمقاصد والمعاني لا بالألفاظ والمباني.</w:t>
      </w:r>
    </w:p>
    <w:p w:rsidR="00646999" w:rsidRPr="00703481" w:rsidRDefault="00646999" w:rsidP="006E4AB4">
      <w:pPr>
        <w:bidi/>
        <w:rPr>
          <w:rFonts w:ascii="Traditional Arabic" w:hAnsi="Traditional Arabic" w:cs="Traditional Arabic"/>
          <w:sz w:val="32"/>
          <w:szCs w:val="32"/>
          <w:rtl/>
          <w:lang w:val="en-US"/>
        </w:rPr>
      </w:pPr>
      <w:r w:rsidRPr="00703481">
        <w:rPr>
          <w:rFonts w:ascii="Traditional Arabic" w:hAnsi="Traditional Arabic" w:cs="Traditional Arabic"/>
          <w:sz w:val="32"/>
          <w:szCs w:val="32"/>
          <w:rtl/>
          <w:lang w:val="en-US"/>
        </w:rPr>
        <w:t>يقول ابن القيم: "وقواعد الفقه وأصوله تشهد أن المرعيَّ في العقود حقائقها ومعانيها لا صورها وألفاظها"</w:t>
      </w:r>
      <w:r w:rsidR="006E4AB4">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22"/>
      </w:r>
      <w:r w:rsidRPr="00703481">
        <w:rPr>
          <w:rFonts w:ascii="Traditional Arabic" w:hAnsi="Traditional Arabic" w:cs="Traditional Arabic"/>
          <w:sz w:val="32"/>
          <w:szCs w:val="32"/>
          <w:rtl/>
          <w:lang w:val="en-US"/>
        </w:rPr>
        <w:t xml:space="preserve"> </w:t>
      </w:r>
    </w:p>
    <w:p w:rsidR="00646999" w:rsidRPr="00703481" w:rsidRDefault="00646999" w:rsidP="006E4AB4">
      <w:pPr>
        <w:bidi/>
        <w:rPr>
          <w:rFonts w:ascii="Traditional Arabic" w:hAnsi="Traditional Arabic" w:cs="Traditional Arabic"/>
          <w:sz w:val="32"/>
          <w:szCs w:val="32"/>
          <w:rtl/>
          <w:lang w:val="en-US"/>
        </w:rPr>
      </w:pPr>
      <w:r w:rsidRPr="00703481">
        <w:rPr>
          <w:rFonts w:ascii="Traditional Arabic" w:hAnsi="Traditional Arabic" w:cs="Traditional Arabic"/>
          <w:b/>
          <w:bCs/>
          <w:sz w:val="32"/>
          <w:szCs w:val="32"/>
          <w:rtl/>
          <w:lang w:val="en-US"/>
        </w:rPr>
        <w:t>رابعا</w:t>
      </w:r>
      <w:r w:rsidRPr="00703481">
        <w:rPr>
          <w:rFonts w:ascii="Traditional Arabic" w:hAnsi="Traditional Arabic" w:cs="Traditional Arabic"/>
          <w:sz w:val="32"/>
          <w:szCs w:val="32"/>
          <w:rtl/>
          <w:lang w:val="en-US"/>
        </w:rPr>
        <w:t>: أن اشتراط الضمان على المضارب يوقعه في غرر زائد. يقول ابن رشد: "أن اشتراط الضمان زيادة غرر في القراض نفسه"</w:t>
      </w:r>
      <w:r w:rsidR="006E4AB4">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23"/>
      </w:r>
      <w:r w:rsidRPr="00703481">
        <w:rPr>
          <w:rFonts w:ascii="Traditional Arabic" w:hAnsi="Traditional Arabic" w:cs="Traditional Arabic"/>
          <w:sz w:val="32"/>
          <w:szCs w:val="32"/>
          <w:rtl/>
          <w:lang w:val="en-US"/>
        </w:rPr>
        <w:t xml:space="preserve"> </w:t>
      </w:r>
    </w:p>
    <w:p w:rsidR="00646999" w:rsidRPr="00703481" w:rsidRDefault="00646999" w:rsidP="00646999">
      <w:pPr>
        <w:bidi/>
        <w:rPr>
          <w:rFonts w:ascii="Traditional Arabic" w:hAnsi="Traditional Arabic" w:cs="Traditional Arabic"/>
          <w:sz w:val="32"/>
          <w:szCs w:val="32"/>
          <w:rtl/>
          <w:lang w:val="en-US"/>
        </w:rPr>
      </w:pPr>
      <w:r w:rsidRPr="00703481">
        <w:rPr>
          <w:rFonts w:ascii="Traditional Arabic" w:hAnsi="Traditional Arabic" w:cs="Traditional Arabic"/>
          <w:sz w:val="32"/>
          <w:szCs w:val="32"/>
          <w:rtl/>
          <w:lang w:val="en-US"/>
        </w:rPr>
        <w:t>ولعلّ وجه زيادة الغرر</w:t>
      </w:r>
      <w:r w:rsidRPr="00703481">
        <w:rPr>
          <w:rFonts w:ascii="Traditional Arabic" w:hAnsi="Traditional Arabic" w:cs="Traditional Arabic"/>
          <w:sz w:val="32"/>
          <w:szCs w:val="32"/>
          <w:lang w:val="en-US"/>
        </w:rPr>
        <w:t xml:space="preserve"> </w:t>
      </w:r>
      <w:r w:rsidRPr="00703481">
        <w:rPr>
          <w:rFonts w:ascii="Traditional Arabic" w:hAnsi="Traditional Arabic" w:cs="Traditional Arabic"/>
          <w:sz w:val="32"/>
          <w:szCs w:val="32"/>
          <w:rtl/>
          <w:lang w:val="en-US"/>
        </w:rPr>
        <w:t>الذي علّل به ابن رشد أن المضارب في حالة طروء الخسارة يخسر مرتين، الأولى: يخسر بتفويت جهوده وعمله بلا عائد. والأخرى: يتحمل خسارة رأس المال.</w:t>
      </w:r>
    </w:p>
    <w:p w:rsidR="00646999" w:rsidRPr="00703481" w:rsidRDefault="00646999" w:rsidP="00646999">
      <w:pPr>
        <w:bidi/>
        <w:rPr>
          <w:rFonts w:ascii="Traditional Arabic" w:hAnsi="Traditional Arabic" w:cs="Traditional Arabic"/>
          <w:sz w:val="32"/>
          <w:szCs w:val="32"/>
          <w:rtl/>
          <w:lang w:val="en-US"/>
        </w:rPr>
      </w:pPr>
      <w:r w:rsidRPr="00703481">
        <w:rPr>
          <w:rFonts w:ascii="Traditional Arabic" w:hAnsi="Traditional Arabic" w:cs="Traditional Arabic"/>
          <w:b/>
          <w:bCs/>
          <w:sz w:val="32"/>
          <w:szCs w:val="32"/>
          <w:rtl/>
          <w:lang w:val="en-US"/>
        </w:rPr>
        <w:t>خامسا</w:t>
      </w:r>
      <w:r w:rsidRPr="00703481">
        <w:rPr>
          <w:rFonts w:ascii="Traditional Arabic" w:hAnsi="Traditional Arabic" w:cs="Traditional Arabic"/>
          <w:sz w:val="32"/>
          <w:szCs w:val="32"/>
          <w:rtl/>
          <w:lang w:val="en-US"/>
        </w:rPr>
        <w:t>: أن اشتراط الضمان على المضارب يتناقض مع أحد المبادئ الأساسية في أبواب المعاملات وهو قاعدة "الغرم بالغنم"، وهي قاعدة معروفة مستفادة من النص النبوي الشريف.</w:t>
      </w:r>
    </w:p>
    <w:p w:rsidR="00646999" w:rsidRPr="00703481" w:rsidRDefault="00646999" w:rsidP="00646999">
      <w:pPr>
        <w:bidi/>
        <w:rPr>
          <w:rFonts w:ascii="Traditional Arabic" w:hAnsi="Traditional Arabic" w:cs="Traditional Arabic"/>
          <w:sz w:val="32"/>
          <w:szCs w:val="32"/>
          <w:rtl/>
          <w:lang w:val="en-US"/>
        </w:rPr>
      </w:pPr>
      <w:r w:rsidRPr="00703481">
        <w:rPr>
          <w:rFonts w:ascii="Traditional Arabic" w:hAnsi="Traditional Arabic" w:cs="Traditional Arabic"/>
          <w:sz w:val="32"/>
          <w:szCs w:val="32"/>
          <w:rtl/>
          <w:lang w:val="en-US"/>
        </w:rPr>
        <w:lastRenderedPageBreak/>
        <w:t>ذلك أن اشتراط الضمان على المضارب يعتبر إخلالا لمبدأ المخاطرة في الاستثمار الذي أساسه العدل بين الحقوق والالتزامات وبين المغانم والمغارم. ألا ترى أن المضارب في هذه الحالة يجتمع فيه مغرمان؛ الخسارة في الجهد، وجبران رأس المال. بينما رب المال يتمتع بالمغنمين؛ ضمان رأس ماله، وحصول العائد.</w:t>
      </w:r>
    </w:p>
    <w:p w:rsidR="00646999" w:rsidRPr="00703481" w:rsidRDefault="00646999" w:rsidP="00646999">
      <w:pPr>
        <w:bidi/>
        <w:rPr>
          <w:rFonts w:ascii="Traditional Arabic" w:hAnsi="Traditional Arabic" w:cs="Traditional Arabic"/>
          <w:sz w:val="32"/>
          <w:szCs w:val="32"/>
          <w:lang w:val="en-US"/>
        </w:rPr>
      </w:pPr>
      <w:r w:rsidRPr="00703481">
        <w:rPr>
          <w:rFonts w:ascii="Traditional Arabic" w:hAnsi="Traditional Arabic" w:cs="Traditional Arabic"/>
          <w:b/>
          <w:bCs/>
          <w:sz w:val="32"/>
          <w:szCs w:val="32"/>
          <w:rtl/>
          <w:lang w:val="en-US"/>
        </w:rPr>
        <w:t>سادسا</w:t>
      </w:r>
      <w:r w:rsidRPr="00703481">
        <w:rPr>
          <w:rFonts w:ascii="Traditional Arabic" w:hAnsi="Traditional Arabic" w:cs="Traditional Arabic"/>
          <w:sz w:val="32"/>
          <w:szCs w:val="32"/>
          <w:rtl/>
          <w:lang w:val="en-US"/>
        </w:rPr>
        <w:t>: أن في اشتراط الضمان على المضارب اشتراط ضمان ما لم يوجد سبب ضمانه.</w:t>
      </w:r>
    </w:p>
    <w:p w:rsidR="00646999" w:rsidRDefault="00646999" w:rsidP="006E4AB4">
      <w:pPr>
        <w:bidi/>
        <w:rPr>
          <w:rFonts w:ascii="Traditional Arabic" w:hAnsi="Traditional Arabic" w:cs="Traditional Arabic" w:hint="cs"/>
          <w:sz w:val="32"/>
          <w:szCs w:val="32"/>
          <w:rtl/>
          <w:lang w:val="en-US"/>
        </w:rPr>
      </w:pPr>
      <w:r w:rsidRPr="00703481">
        <w:rPr>
          <w:rFonts w:ascii="Traditional Arabic" w:hAnsi="Traditional Arabic" w:cs="Traditional Arabic"/>
          <w:sz w:val="32"/>
          <w:szCs w:val="32"/>
          <w:rtl/>
          <w:lang w:val="en-US"/>
        </w:rPr>
        <w:t>يقول ابن قدامة: "إذا شرط رب الوديعة على المستودع ضمان الوديعة لم يضمن، وكذلك كل ما أصله الأمانة كالمضاربة ومال الشركة والرهن، وذلك لأنه شرط ضمان ما لم يوجد سبب ضمانه فلم يلزمه، كما لو شرط ضمان ما يتلف في يد مالكه"</w:t>
      </w:r>
      <w:r w:rsidR="006E4AB4">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24"/>
      </w:r>
    </w:p>
    <w:p w:rsidR="00080BF5" w:rsidRPr="00703481" w:rsidRDefault="0097423B" w:rsidP="00080BF5">
      <w:pPr>
        <w:bidi/>
        <w:rPr>
          <w:rFonts w:cs="Traditional Arabic"/>
          <w:b/>
          <w:bCs/>
          <w:sz w:val="32"/>
          <w:szCs w:val="32"/>
          <w:rtl/>
        </w:rPr>
      </w:pPr>
      <w:r>
        <w:rPr>
          <w:rFonts w:cs="Traditional Arabic" w:hint="cs"/>
          <w:b/>
          <w:bCs/>
          <w:sz w:val="32"/>
          <w:szCs w:val="32"/>
          <w:rtl/>
        </w:rPr>
        <w:t xml:space="preserve">فرع المسألة: </w:t>
      </w:r>
      <w:r w:rsidR="00080BF5" w:rsidRPr="00703481">
        <w:rPr>
          <w:rFonts w:cs="Traditional Arabic" w:hint="cs"/>
          <w:b/>
          <w:bCs/>
          <w:sz w:val="32"/>
          <w:szCs w:val="32"/>
          <w:rtl/>
        </w:rPr>
        <w:t>الاختلاف بين رب المال والمضارب في تلف المال أو الخسارة.</w:t>
      </w:r>
    </w:p>
    <w:p w:rsidR="00080BF5" w:rsidRPr="00703481" w:rsidRDefault="00080BF5" w:rsidP="006E4AB4">
      <w:pPr>
        <w:bidi/>
        <w:rPr>
          <w:rFonts w:cs="Traditional Arabic"/>
          <w:sz w:val="32"/>
          <w:szCs w:val="32"/>
          <w:lang w:val="en-US"/>
        </w:rPr>
      </w:pPr>
      <w:r w:rsidRPr="00703481">
        <w:rPr>
          <w:rFonts w:cs="Traditional Arabic" w:hint="cs"/>
          <w:sz w:val="32"/>
          <w:szCs w:val="32"/>
          <w:rtl/>
        </w:rPr>
        <w:t>إذا اد</w:t>
      </w:r>
      <w:r>
        <w:rPr>
          <w:rFonts w:cs="Traditional Arabic" w:hint="cs"/>
          <w:sz w:val="32"/>
          <w:szCs w:val="32"/>
          <w:rtl/>
        </w:rPr>
        <w:t>ّ</w:t>
      </w:r>
      <w:r w:rsidRPr="00703481">
        <w:rPr>
          <w:rFonts w:cs="Traditional Arabic" w:hint="cs"/>
          <w:sz w:val="32"/>
          <w:szCs w:val="32"/>
          <w:rtl/>
        </w:rPr>
        <w:t xml:space="preserve">عى المضارب تلف المال أو طروء الخسارة في تجارته من غير تعد ولا تقصير منه، فهل يقبل قوله فيما ادعاه؟ </w:t>
      </w:r>
      <w:r>
        <w:rPr>
          <w:rFonts w:cs="Traditional Arabic" w:hint="cs"/>
          <w:sz w:val="32"/>
          <w:szCs w:val="32"/>
          <w:rtl/>
        </w:rPr>
        <w:t>وبناءً على هذا القول و</w:t>
      </w:r>
      <w:r w:rsidRPr="00703481">
        <w:rPr>
          <w:rFonts w:cs="Traditional Arabic" w:hint="cs"/>
          <w:sz w:val="32"/>
          <w:szCs w:val="32"/>
          <w:rtl/>
        </w:rPr>
        <w:t>بالنظر  إلى أصل هذا الباب من كون المضارب أمينا، فمقتضاه قبول قوله فيما يدعيه. يقول ابن رجب في قواعده</w:t>
      </w:r>
      <w:r w:rsidRPr="00703481">
        <w:rPr>
          <w:rFonts w:cs="Traditional Arabic"/>
          <w:sz w:val="32"/>
          <w:szCs w:val="32"/>
        </w:rPr>
        <w:t xml:space="preserve"> </w:t>
      </w:r>
      <w:r w:rsidRPr="00703481">
        <w:rPr>
          <w:rFonts w:cs="Traditional Arabic" w:hint="cs"/>
          <w:sz w:val="32"/>
          <w:szCs w:val="32"/>
          <w:rtl/>
        </w:rPr>
        <w:t xml:space="preserve"> مبينا هذا الأصل، ما نصه: "فإن الأمانات القول قول من في يده"</w:t>
      </w:r>
      <w:r w:rsidR="006E4AB4">
        <w:rPr>
          <w:rFonts w:cs="Traditional Arabic" w:hint="cs"/>
          <w:sz w:val="32"/>
          <w:szCs w:val="32"/>
          <w:rtl/>
        </w:rPr>
        <w:t>.</w:t>
      </w:r>
      <w:r w:rsidRPr="00703481">
        <w:rPr>
          <w:rStyle w:val="a4"/>
          <w:rFonts w:cs="Traditional Arabic"/>
          <w:sz w:val="32"/>
          <w:szCs w:val="32"/>
          <w:rtl/>
        </w:rPr>
        <w:footnoteReference w:id="25"/>
      </w:r>
    </w:p>
    <w:p w:rsidR="00080BF5" w:rsidRPr="00703481" w:rsidRDefault="00080BF5" w:rsidP="00080BF5">
      <w:pPr>
        <w:bidi/>
        <w:rPr>
          <w:rFonts w:cs="Traditional Arabic"/>
          <w:sz w:val="32"/>
          <w:szCs w:val="32"/>
          <w:rtl/>
        </w:rPr>
      </w:pPr>
      <w:r w:rsidRPr="00703481">
        <w:rPr>
          <w:rFonts w:cs="Traditional Arabic" w:hint="cs"/>
          <w:sz w:val="32"/>
          <w:szCs w:val="32"/>
          <w:rtl/>
        </w:rPr>
        <w:t>يقول الشيرازي: "وإن اختلف العامل ورب المال في تلف المال فادعاه العامل وأنكره رب المال،... فالقول قول العامل"</w:t>
      </w:r>
      <w:r>
        <w:rPr>
          <w:rFonts w:cs="Traditional Arabic" w:hint="cs"/>
          <w:sz w:val="32"/>
          <w:szCs w:val="32"/>
          <w:rtl/>
        </w:rPr>
        <w:t>.</w:t>
      </w:r>
      <w:r w:rsidRPr="00703481">
        <w:rPr>
          <w:rStyle w:val="a4"/>
          <w:rFonts w:cs="Traditional Arabic"/>
          <w:sz w:val="32"/>
          <w:szCs w:val="32"/>
          <w:rtl/>
        </w:rPr>
        <w:footnoteReference w:id="26"/>
      </w:r>
      <w:r w:rsidRPr="00703481">
        <w:rPr>
          <w:rFonts w:cs="Traditional Arabic"/>
          <w:sz w:val="32"/>
          <w:szCs w:val="32"/>
        </w:rPr>
        <w:t xml:space="preserve"> </w:t>
      </w:r>
      <w:r w:rsidRPr="00703481">
        <w:rPr>
          <w:rFonts w:cs="Traditional Arabic" w:hint="cs"/>
          <w:sz w:val="32"/>
          <w:szCs w:val="32"/>
          <w:rtl/>
        </w:rPr>
        <w:t>ويقول الغزالي: "إذا تنازعا في تلف المال فالقول قول العامل لأنه أمين"</w:t>
      </w:r>
      <w:r>
        <w:rPr>
          <w:rFonts w:cs="Traditional Arabic" w:hint="cs"/>
          <w:sz w:val="32"/>
          <w:szCs w:val="32"/>
          <w:rtl/>
        </w:rPr>
        <w:t>.</w:t>
      </w:r>
      <w:r w:rsidRPr="00703481">
        <w:rPr>
          <w:rStyle w:val="a4"/>
          <w:rFonts w:cs="Traditional Arabic"/>
          <w:sz w:val="32"/>
          <w:szCs w:val="32"/>
          <w:rtl/>
        </w:rPr>
        <w:footnoteReference w:id="27"/>
      </w:r>
    </w:p>
    <w:p w:rsidR="00080BF5" w:rsidRDefault="00080BF5" w:rsidP="00080BF5">
      <w:pPr>
        <w:bidi/>
        <w:rPr>
          <w:rFonts w:cs="Traditional Arabic" w:hint="cs"/>
          <w:sz w:val="32"/>
          <w:szCs w:val="32"/>
          <w:rtl/>
        </w:rPr>
      </w:pPr>
      <w:r w:rsidRPr="00703481">
        <w:rPr>
          <w:rFonts w:cs="Traditional Arabic" w:hint="cs"/>
          <w:sz w:val="32"/>
          <w:szCs w:val="32"/>
          <w:rtl/>
        </w:rPr>
        <w:t>ومحل هذا الحكم فيما إذا حصل التنازع بينهما ولم يكن مع رب المال بينة. أما إذا أتى رب المال ببينة تشهد بخلاف ما ادعاه المضارب، يعمل ببينة على ما تقرر في فنِّ القضاء</w:t>
      </w:r>
      <w:r>
        <w:rPr>
          <w:rFonts w:cs="Traditional Arabic" w:hint="cs"/>
          <w:sz w:val="32"/>
          <w:szCs w:val="32"/>
          <w:rtl/>
        </w:rPr>
        <w:t>.</w:t>
      </w:r>
      <w:r w:rsidRPr="00703481">
        <w:rPr>
          <w:rStyle w:val="a4"/>
          <w:rFonts w:cs="Traditional Arabic"/>
          <w:sz w:val="32"/>
          <w:szCs w:val="32"/>
          <w:rtl/>
        </w:rPr>
        <w:footnoteReference w:id="28"/>
      </w:r>
    </w:p>
    <w:p w:rsidR="000C1D75" w:rsidRDefault="000C1D75" w:rsidP="00874D46">
      <w:pPr>
        <w:bidi/>
        <w:rPr>
          <w:rFonts w:cs="Traditional Arabic" w:hint="cs"/>
          <w:sz w:val="32"/>
          <w:szCs w:val="32"/>
          <w:rtl/>
        </w:rPr>
      </w:pPr>
      <w:r>
        <w:rPr>
          <w:rFonts w:cs="Traditional Arabic" w:hint="cs"/>
          <w:sz w:val="32"/>
          <w:szCs w:val="32"/>
          <w:rtl/>
        </w:rPr>
        <w:lastRenderedPageBreak/>
        <w:t>وقد جاء في المنتقى شرح الموطاء شيء من التفصيل حيث يقول: "فإن ادعى (المضارب) خسارة وكان وجه ما ادعاه</w:t>
      </w:r>
      <w:r w:rsidR="00874D46">
        <w:rPr>
          <w:rFonts w:cs="Traditional Arabic" w:hint="cs"/>
          <w:sz w:val="32"/>
          <w:szCs w:val="32"/>
          <w:rtl/>
        </w:rPr>
        <w:t xml:space="preserve"> معروفا بأن يكون من سافر مثل سفره أو تجر مثل تجارته أصابه ذلك أو كان وجهه معروفا فهو مصدق، وإن ادعى من ذلك ما لا يعرف فروى ابن أيمن عن مالك أنه ضامن."</w:t>
      </w:r>
      <w:r w:rsidR="00BC29F6">
        <w:rPr>
          <w:rStyle w:val="a4"/>
          <w:rFonts w:cs="Traditional Arabic"/>
          <w:sz w:val="32"/>
          <w:szCs w:val="32"/>
          <w:rtl/>
        </w:rPr>
        <w:footnoteReference w:id="29"/>
      </w:r>
    </w:p>
    <w:p w:rsidR="0097423B" w:rsidRDefault="0097423B" w:rsidP="00E01C04">
      <w:pPr>
        <w:bidi/>
        <w:rPr>
          <w:rFonts w:cs="Traditional Arabic" w:hint="cs"/>
          <w:sz w:val="32"/>
          <w:szCs w:val="32"/>
          <w:rtl/>
        </w:rPr>
      </w:pPr>
      <w:r>
        <w:rPr>
          <w:rFonts w:cs="Traditional Arabic" w:hint="cs"/>
          <w:sz w:val="32"/>
          <w:szCs w:val="32"/>
          <w:rtl/>
        </w:rPr>
        <w:t>و</w:t>
      </w:r>
      <w:r w:rsidR="00E01C04">
        <w:rPr>
          <w:rFonts w:cs="Traditional Arabic" w:hint="cs"/>
          <w:sz w:val="32"/>
          <w:szCs w:val="32"/>
          <w:rtl/>
        </w:rPr>
        <w:t>يقول صاحب</w:t>
      </w:r>
      <w:r>
        <w:rPr>
          <w:rFonts w:cs="Traditional Arabic" w:hint="cs"/>
          <w:sz w:val="32"/>
          <w:szCs w:val="32"/>
          <w:rtl/>
        </w:rPr>
        <w:t xml:space="preserve"> كشاف القناع: "ومن ادّعى من وكيل ومرتهن ومضارب ومودع التلف بحادث ظاهر، كحريق ونهب جيش ونحوه لم يقبل قوله إلا ببينة وتشهد بوجود الحادث في تلك الناحية لأنه لا تتعذر إقامة البينة عليه غالبا ولأن الأصل عدمه، ثم يقبل قوله أي من ذكر من وكيل ومرتهن ومضارب ومُودَع في التلف بيمينه </w:t>
      </w:r>
      <w:r w:rsidR="00E01C04">
        <w:rPr>
          <w:rFonts w:cs="Traditional Arabic" w:hint="cs"/>
          <w:sz w:val="32"/>
          <w:szCs w:val="32"/>
          <w:rtl/>
        </w:rPr>
        <w:t>، بخلاف ما لو ادعى أحدهم التلف وأطلق أو أسنده إلى أمر خفي ، كنحو سرقة ..."</w:t>
      </w:r>
      <w:r w:rsidR="00E01C04">
        <w:rPr>
          <w:rStyle w:val="a4"/>
          <w:rFonts w:cs="Traditional Arabic"/>
          <w:sz w:val="32"/>
          <w:szCs w:val="32"/>
          <w:rtl/>
        </w:rPr>
        <w:footnoteReference w:id="30"/>
      </w:r>
    </w:p>
    <w:p w:rsidR="006E4AB4" w:rsidRDefault="006E4AB4" w:rsidP="006E4AB4">
      <w:pPr>
        <w:bidi/>
        <w:rPr>
          <w:rFonts w:cs="Traditional Arabic" w:hint="cs"/>
          <w:sz w:val="32"/>
          <w:szCs w:val="32"/>
          <w:rtl/>
        </w:rPr>
      </w:pPr>
      <w:r>
        <w:rPr>
          <w:rFonts w:cs="Traditional Arabic" w:hint="cs"/>
          <w:sz w:val="32"/>
          <w:szCs w:val="32"/>
          <w:rtl/>
        </w:rPr>
        <w:t xml:space="preserve">وصرّح أصحاب هذا القول بأن المضارب ضامن في حالة التقصير والتعدي. </w:t>
      </w:r>
      <w:r w:rsidR="00942AD5">
        <w:rPr>
          <w:rFonts w:cs="Traditional Arabic" w:hint="cs"/>
          <w:sz w:val="32"/>
          <w:szCs w:val="32"/>
          <w:rtl/>
        </w:rPr>
        <w:t>وأما بالنسبة للبينة في التقصير ، جاء في الأم النص الآتي: "وإذا دفع الرجل إلى الرجل مالا مضاربة ولم يأمره ولم ينهه عن الدين فأدان في بيع أو شراء أو سلف فسواء ذلك كله هو ضامن إلا أن يقر له رب المال، أو تقوم عليه بيّنة أنه أذن له في ذلك."</w:t>
      </w:r>
      <w:r w:rsidR="00942AD5">
        <w:rPr>
          <w:rStyle w:val="a4"/>
          <w:rFonts w:cs="Traditional Arabic"/>
          <w:sz w:val="32"/>
          <w:szCs w:val="32"/>
          <w:rtl/>
        </w:rPr>
        <w:footnoteReference w:id="31"/>
      </w:r>
      <w:r w:rsidR="00942AD5">
        <w:rPr>
          <w:rFonts w:cs="Traditional Arabic" w:hint="cs"/>
          <w:sz w:val="32"/>
          <w:szCs w:val="32"/>
          <w:rtl/>
        </w:rPr>
        <w:t xml:space="preserve"> فلاحظنا من هذا النص أن البينة في إذن رب المال على المضارب لأنه يدعي بأمر يخالف الأصل وهو عدم المداينة.</w:t>
      </w:r>
    </w:p>
    <w:p w:rsidR="00942AD5" w:rsidRDefault="00942AD5" w:rsidP="00942AD5">
      <w:pPr>
        <w:bidi/>
        <w:rPr>
          <w:rFonts w:cs="Traditional Arabic" w:hint="cs"/>
          <w:sz w:val="32"/>
          <w:szCs w:val="32"/>
          <w:rtl/>
        </w:rPr>
      </w:pPr>
    </w:p>
    <w:p w:rsidR="00646999" w:rsidRPr="00703481" w:rsidRDefault="00646999" w:rsidP="00646999">
      <w:pPr>
        <w:bidi/>
        <w:rPr>
          <w:rFonts w:ascii="Traditional Arabic" w:hAnsi="Traditional Arabic" w:cs="Traditional Arabic"/>
          <w:sz w:val="32"/>
          <w:szCs w:val="32"/>
          <w:lang w:val="en-US"/>
        </w:rPr>
      </w:pPr>
      <w:r w:rsidRPr="00703481">
        <w:rPr>
          <w:rFonts w:ascii="Traditional Arabic" w:hAnsi="Traditional Arabic" w:cs="Traditional Arabic"/>
          <w:b/>
          <w:bCs/>
          <w:sz w:val="32"/>
          <w:szCs w:val="32"/>
          <w:rtl/>
          <w:lang w:val="en-US"/>
        </w:rPr>
        <w:t xml:space="preserve">القول </w:t>
      </w:r>
      <w:r w:rsidRPr="00080BF5">
        <w:rPr>
          <w:rFonts w:ascii="Traditional Arabic" w:hAnsi="Traditional Arabic" w:cs="Traditional Arabic"/>
          <w:b/>
          <w:bCs/>
          <w:sz w:val="32"/>
          <w:szCs w:val="32"/>
          <w:rtl/>
          <w:lang w:val="en-US"/>
        </w:rPr>
        <w:t>الثاني: جواز اشتراط الضمان على المضارب.</w:t>
      </w:r>
    </w:p>
    <w:p w:rsidR="00646999" w:rsidRPr="00703481" w:rsidRDefault="00646999" w:rsidP="00646999">
      <w:pPr>
        <w:bidi/>
        <w:rPr>
          <w:rFonts w:ascii="Traditional Arabic" w:hAnsi="Traditional Arabic" w:cs="Traditional Arabic"/>
          <w:sz w:val="32"/>
          <w:szCs w:val="32"/>
          <w:rtl/>
          <w:lang w:val="en-US"/>
        </w:rPr>
      </w:pPr>
      <w:r w:rsidRPr="00703481">
        <w:rPr>
          <w:rFonts w:ascii="Traditional Arabic" w:hAnsi="Traditional Arabic" w:cs="Traditional Arabic"/>
          <w:sz w:val="32"/>
          <w:szCs w:val="32"/>
          <w:rtl/>
          <w:lang w:val="en-US"/>
        </w:rPr>
        <w:t>وهو قول طائفة من أهل العلم، أن اشتراط الضمان على صاحب يد الأمانة يصح ويلزمه الضمان. وإليه ذهب الإمام أحمد في رواية مرجوحة، واختاره الشوكاني.</w:t>
      </w:r>
    </w:p>
    <w:p w:rsidR="00646999" w:rsidRPr="00703481" w:rsidRDefault="00646999" w:rsidP="00942AD5">
      <w:pPr>
        <w:bidi/>
        <w:rPr>
          <w:rFonts w:ascii="Traditional Arabic" w:hAnsi="Traditional Arabic" w:cs="Traditional Arabic"/>
          <w:sz w:val="32"/>
          <w:szCs w:val="32"/>
          <w:lang w:val="en-US"/>
        </w:rPr>
      </w:pPr>
      <w:r w:rsidRPr="00703481">
        <w:rPr>
          <w:rFonts w:ascii="Traditional Arabic" w:hAnsi="Traditional Arabic" w:cs="Traditional Arabic"/>
          <w:sz w:val="32"/>
          <w:szCs w:val="32"/>
          <w:rtl/>
          <w:lang w:val="en-US"/>
        </w:rPr>
        <w:lastRenderedPageBreak/>
        <w:t>يقول ابن قدامة في باب الإجارة: "وإن شرطه لم يصح الشرط، لأن ما لا يجب ضمانه لا يصيره الشرط مضمونا، وما يجب ضمانه لا ينتفي ضمانه بشرط نفيه. وعن أحمد: أنه سئل عن ذلك فقال: المسلمون على شروطهم. وهذا يدل على نفي الضمان بشرطه ووجوبه بشرطه"</w:t>
      </w:r>
      <w:r w:rsidR="00942AD5">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32"/>
      </w:r>
    </w:p>
    <w:p w:rsidR="00646999" w:rsidRPr="00703481" w:rsidRDefault="00646999" w:rsidP="00942AD5">
      <w:pPr>
        <w:bidi/>
        <w:rPr>
          <w:rFonts w:ascii="Traditional Arabic" w:hAnsi="Traditional Arabic" w:cs="Traditional Arabic"/>
          <w:sz w:val="32"/>
          <w:szCs w:val="32"/>
          <w:rtl/>
          <w:lang w:val="en-US"/>
        </w:rPr>
      </w:pPr>
      <w:r w:rsidRPr="00703481">
        <w:rPr>
          <w:rFonts w:ascii="Traditional Arabic" w:hAnsi="Traditional Arabic" w:cs="Traditional Arabic"/>
          <w:sz w:val="32"/>
          <w:szCs w:val="32"/>
          <w:rtl/>
          <w:lang w:val="en-US"/>
        </w:rPr>
        <w:t>ويقول الشوكاني</w:t>
      </w:r>
      <w:r w:rsidRPr="00703481">
        <w:rPr>
          <w:rFonts w:ascii="Traditional Arabic" w:hAnsi="Traditional Arabic" w:cs="Traditional Arabic"/>
          <w:sz w:val="32"/>
          <w:szCs w:val="32"/>
          <w:lang w:val="en-US"/>
        </w:rPr>
        <w:t xml:space="preserve"> </w:t>
      </w:r>
      <w:r w:rsidRPr="00703481">
        <w:rPr>
          <w:rFonts w:ascii="Traditional Arabic" w:hAnsi="Traditional Arabic" w:cs="Traditional Arabic"/>
          <w:sz w:val="32"/>
          <w:szCs w:val="32"/>
          <w:rtl/>
          <w:lang w:val="en-US"/>
        </w:rPr>
        <w:t xml:space="preserve"> مشيرا إلى أصحاب الأيدي الأمينة كالمضارب والوديع والوصي والوكيل والملتقط: "ولا يضمنون إلا لجناية أو تفريط، وإذا ضُمِّنُوا ضمنوا"</w:t>
      </w:r>
      <w:r w:rsidR="00942AD5">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33"/>
      </w:r>
    </w:p>
    <w:p w:rsidR="00646999" w:rsidRPr="00703481" w:rsidRDefault="00646999" w:rsidP="00695F8F">
      <w:pPr>
        <w:bidi/>
        <w:rPr>
          <w:rFonts w:ascii="Traditional Arabic" w:hAnsi="Traditional Arabic" w:cs="Traditional Arabic"/>
          <w:sz w:val="32"/>
          <w:szCs w:val="32"/>
          <w:lang w:val="en-US"/>
        </w:rPr>
      </w:pPr>
      <w:r w:rsidRPr="00703481">
        <w:rPr>
          <w:rFonts w:ascii="Traditional Arabic" w:hAnsi="Traditional Arabic" w:cs="Traditional Arabic"/>
          <w:sz w:val="32"/>
          <w:szCs w:val="32"/>
          <w:rtl/>
          <w:lang w:val="en-US"/>
        </w:rPr>
        <w:t>استدل أصحاب هذا القول بأدلة، منها:</w:t>
      </w:r>
    </w:p>
    <w:p w:rsidR="00646999" w:rsidRPr="00703481" w:rsidRDefault="00646999" w:rsidP="00816622">
      <w:pPr>
        <w:bidi/>
        <w:rPr>
          <w:rFonts w:ascii="Traditional Arabic" w:hAnsi="Traditional Arabic" w:cs="Traditional Arabic"/>
          <w:sz w:val="32"/>
          <w:szCs w:val="32"/>
          <w:rtl/>
          <w:lang w:val="en-US"/>
        </w:rPr>
      </w:pPr>
      <w:r w:rsidRPr="00703481">
        <w:rPr>
          <w:rFonts w:ascii="Traditional Arabic" w:hAnsi="Traditional Arabic" w:cs="Traditional Arabic"/>
          <w:b/>
          <w:bCs/>
          <w:sz w:val="32"/>
          <w:szCs w:val="32"/>
          <w:rtl/>
          <w:lang w:val="en-US"/>
        </w:rPr>
        <w:t>أولا</w:t>
      </w:r>
      <w:r w:rsidRPr="00703481">
        <w:rPr>
          <w:rFonts w:ascii="Traditional Arabic" w:hAnsi="Traditional Arabic" w:cs="Traditional Arabic"/>
          <w:sz w:val="32"/>
          <w:szCs w:val="32"/>
          <w:rtl/>
          <w:lang w:val="en-US"/>
        </w:rPr>
        <w:t>: حديث: "المسلمون على شروطهم"</w:t>
      </w:r>
      <w:r w:rsidR="00816622">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34"/>
      </w:r>
      <w:r w:rsidRPr="00703481">
        <w:rPr>
          <w:rFonts w:ascii="Traditional Arabic" w:hAnsi="Traditional Arabic" w:cs="Traditional Arabic"/>
          <w:sz w:val="32"/>
          <w:szCs w:val="32"/>
          <w:rtl/>
          <w:lang w:val="en-US"/>
        </w:rPr>
        <w:t xml:space="preserve"> ووجه الدلالة: إذا شرط رب المال على المضارب الأمين الضمانَ ووافق عليه فإنه يجب الالتزام بمقتضى الشرط.</w:t>
      </w:r>
    </w:p>
    <w:p w:rsidR="00646999" w:rsidRPr="00703481" w:rsidRDefault="00646999" w:rsidP="00816622">
      <w:pPr>
        <w:bidi/>
        <w:rPr>
          <w:rFonts w:ascii="Traditional Arabic" w:hAnsi="Traditional Arabic" w:cs="Traditional Arabic"/>
          <w:sz w:val="32"/>
          <w:szCs w:val="32"/>
          <w:rtl/>
          <w:lang w:val="en-US"/>
        </w:rPr>
      </w:pPr>
      <w:r w:rsidRPr="00703481">
        <w:rPr>
          <w:rFonts w:ascii="Traditional Arabic" w:hAnsi="Traditional Arabic" w:cs="Traditional Arabic"/>
          <w:b/>
          <w:bCs/>
          <w:sz w:val="32"/>
          <w:szCs w:val="32"/>
          <w:rtl/>
          <w:lang w:val="en-US"/>
        </w:rPr>
        <w:t>ثانيا</w:t>
      </w:r>
      <w:r w:rsidRPr="00703481">
        <w:rPr>
          <w:rFonts w:ascii="Traditional Arabic" w:hAnsi="Traditional Arabic" w:cs="Traditional Arabic"/>
          <w:sz w:val="32"/>
          <w:szCs w:val="32"/>
          <w:rtl/>
          <w:lang w:val="en-US"/>
        </w:rPr>
        <w:t>: أن هذا الاشتراط مبناه التراضي بين الطرفين إذ إن هذا المضارب قد رضي لنفسه بقبول شرط الضمان عليه والتزام ما لم يكن يلزمه، فيجوز. يقول الشوكاني</w:t>
      </w:r>
      <w:r w:rsidRPr="00703481">
        <w:rPr>
          <w:rFonts w:ascii="Traditional Arabic" w:hAnsi="Traditional Arabic" w:cs="Traditional Arabic"/>
          <w:sz w:val="32"/>
          <w:szCs w:val="32"/>
          <w:lang w:val="en-US"/>
        </w:rPr>
        <w:t xml:space="preserve"> </w:t>
      </w:r>
      <w:r w:rsidRPr="00703481">
        <w:rPr>
          <w:rFonts w:ascii="Traditional Arabic" w:hAnsi="Traditional Arabic" w:cs="Traditional Arabic"/>
          <w:sz w:val="32"/>
          <w:szCs w:val="32"/>
          <w:rtl/>
          <w:lang w:val="en-US"/>
        </w:rPr>
        <w:t xml:space="preserve"> معلِّلاً لهذا القول: "لأنهم قد اختاروا ذلك لأنفسهم والتراضي هو المناط في تحليل أموال العباد"</w:t>
      </w:r>
      <w:r w:rsidR="00816622">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35"/>
      </w:r>
    </w:p>
    <w:p w:rsidR="00646999" w:rsidRPr="00703481" w:rsidRDefault="00646999" w:rsidP="00816622">
      <w:pPr>
        <w:bidi/>
        <w:rPr>
          <w:rFonts w:ascii="Traditional Arabic" w:hAnsi="Traditional Arabic" w:cs="Traditional Arabic"/>
          <w:sz w:val="32"/>
          <w:szCs w:val="32"/>
          <w:lang w:val="en-US"/>
        </w:rPr>
      </w:pPr>
      <w:r w:rsidRPr="00703481">
        <w:rPr>
          <w:rFonts w:ascii="Traditional Arabic" w:hAnsi="Traditional Arabic" w:cs="Traditional Arabic"/>
          <w:b/>
          <w:bCs/>
          <w:sz w:val="32"/>
          <w:szCs w:val="32"/>
          <w:rtl/>
          <w:lang w:val="en-US"/>
        </w:rPr>
        <w:t>ثالثا</w:t>
      </w:r>
      <w:r w:rsidRPr="00703481">
        <w:rPr>
          <w:rFonts w:ascii="Traditional Arabic" w:hAnsi="Traditional Arabic" w:cs="Traditional Arabic"/>
          <w:sz w:val="32"/>
          <w:szCs w:val="32"/>
          <w:rtl/>
          <w:lang w:val="en-US"/>
        </w:rPr>
        <w:t>: تخريج القول بما جاء عند بعض الفقهاء من جواز تضمين الصناع، كما نقل ذلك عن الإمام مالك وأصحابه</w:t>
      </w:r>
      <w:r w:rsidR="00816622">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36"/>
      </w:r>
      <w:r w:rsidRPr="00703481">
        <w:rPr>
          <w:rFonts w:ascii="Traditional Arabic" w:hAnsi="Traditional Arabic" w:cs="Traditional Arabic"/>
          <w:sz w:val="32"/>
          <w:szCs w:val="32"/>
          <w:lang w:val="en-US"/>
        </w:rPr>
        <w:t xml:space="preserve"> </w:t>
      </w:r>
      <w:r w:rsidRPr="00703481">
        <w:rPr>
          <w:rFonts w:ascii="Traditional Arabic" w:hAnsi="Traditional Arabic" w:cs="Traditional Arabic"/>
          <w:sz w:val="32"/>
          <w:szCs w:val="32"/>
          <w:rtl/>
          <w:lang w:val="en-US"/>
        </w:rPr>
        <w:t>بل وقد نقل إجماع الصحابة والعلماء من بعدهم على جواز تضمين الصناع</w:t>
      </w:r>
      <w:r w:rsidR="00816622">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37"/>
      </w:r>
    </w:p>
    <w:p w:rsidR="00646999" w:rsidRPr="00703481" w:rsidRDefault="00646999" w:rsidP="00816622">
      <w:pPr>
        <w:bidi/>
        <w:rPr>
          <w:rFonts w:ascii="Traditional Arabic" w:hAnsi="Traditional Arabic" w:cs="Traditional Arabic"/>
          <w:sz w:val="32"/>
          <w:szCs w:val="32"/>
          <w:lang w:val="en-US"/>
        </w:rPr>
      </w:pPr>
      <w:r w:rsidRPr="00703481">
        <w:rPr>
          <w:rFonts w:ascii="Traditional Arabic" w:hAnsi="Traditional Arabic" w:cs="Traditional Arabic"/>
          <w:sz w:val="32"/>
          <w:szCs w:val="32"/>
          <w:rtl/>
          <w:lang w:val="en-US"/>
        </w:rPr>
        <w:t>جاء في شرح حدود ابن عرفة: "ضمان الصانع خارج عن أصل قياس الأجير، لكن أجمع عليه العلماء للمصلحة العامة فيه"</w:t>
      </w:r>
      <w:r w:rsidR="00816622">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38"/>
      </w:r>
    </w:p>
    <w:p w:rsidR="00646999" w:rsidRPr="00703481" w:rsidRDefault="00646999" w:rsidP="00816622">
      <w:pPr>
        <w:bidi/>
        <w:rPr>
          <w:rFonts w:ascii="Traditional Arabic" w:hAnsi="Traditional Arabic" w:cs="Traditional Arabic"/>
          <w:sz w:val="32"/>
          <w:szCs w:val="32"/>
          <w:lang w:val="en-US"/>
        </w:rPr>
      </w:pPr>
      <w:r w:rsidRPr="00703481">
        <w:rPr>
          <w:rFonts w:ascii="Traditional Arabic" w:hAnsi="Traditional Arabic" w:cs="Traditional Arabic"/>
          <w:sz w:val="32"/>
          <w:szCs w:val="32"/>
          <w:rtl/>
          <w:lang w:val="en-US"/>
        </w:rPr>
        <w:lastRenderedPageBreak/>
        <w:t>ووجه الوفاق بين تضمين المضاربين وتضمين الصناع هو المصلحة ومسيس الحاجة إلى تضمينهم. فكما أنهم قضوا بجواز تضمين الصناع لمكان المصلحة</w:t>
      </w:r>
      <w:r w:rsidR="00816622">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39"/>
      </w:r>
      <w:r w:rsidRPr="00703481">
        <w:rPr>
          <w:rFonts w:ascii="Traditional Arabic" w:hAnsi="Traditional Arabic" w:cs="Traditional Arabic"/>
          <w:sz w:val="32"/>
          <w:szCs w:val="32"/>
          <w:rtl/>
          <w:lang w:val="en-US"/>
        </w:rPr>
        <w:t xml:space="preserve"> فينبغي أن يجوز تضمين المضاربين لوجود المصلحة الراجحة في تضمينهم، وبخاصة في هذا العصر الذي لا يتورع كثير من المضاربين عن التعدِّي والتفريط في أموال المضاربة، اعتمادا على الأصل أن القول قولهم.</w:t>
      </w:r>
    </w:p>
    <w:p w:rsidR="00646999" w:rsidRPr="00703481" w:rsidRDefault="00646999" w:rsidP="00816622">
      <w:pPr>
        <w:bidi/>
        <w:rPr>
          <w:rFonts w:ascii="Traditional Arabic" w:hAnsi="Traditional Arabic" w:cs="Traditional Arabic"/>
          <w:sz w:val="32"/>
          <w:szCs w:val="32"/>
          <w:lang w:val="en-US"/>
        </w:rPr>
      </w:pPr>
      <w:r w:rsidRPr="00703481">
        <w:rPr>
          <w:rFonts w:ascii="Traditional Arabic" w:hAnsi="Traditional Arabic" w:cs="Traditional Arabic"/>
          <w:b/>
          <w:bCs/>
          <w:sz w:val="32"/>
          <w:szCs w:val="32"/>
          <w:rtl/>
          <w:lang w:val="en-US"/>
        </w:rPr>
        <w:t>رابعا</w:t>
      </w:r>
      <w:r w:rsidRPr="00703481">
        <w:rPr>
          <w:rFonts w:ascii="Traditional Arabic" w:hAnsi="Traditional Arabic" w:cs="Traditional Arabic"/>
          <w:sz w:val="32"/>
          <w:szCs w:val="32"/>
          <w:rtl/>
          <w:lang w:val="en-US"/>
        </w:rPr>
        <w:t>: تخريج القول بما جاء عن بعض الفقهاء من جواز تضمين الأجير المشترك</w:t>
      </w:r>
      <w:r w:rsidR="00816622">
        <w:rPr>
          <w:rFonts w:ascii="Traditional Arabic" w:hAnsi="Traditional Arabic" w:cs="Traditional Arabic" w:hint="cs"/>
          <w:sz w:val="32"/>
          <w:szCs w:val="32"/>
          <w:rtl/>
          <w:lang w:val="en-US"/>
        </w:rPr>
        <w:t>.</w:t>
      </w:r>
      <w:r w:rsidRPr="00703481">
        <w:rPr>
          <w:rStyle w:val="a4"/>
          <w:rFonts w:ascii="Traditional Arabic" w:hAnsi="Traditional Arabic" w:cs="Traditional Arabic"/>
          <w:sz w:val="32"/>
          <w:szCs w:val="32"/>
          <w:rtl/>
          <w:lang w:val="en-US"/>
        </w:rPr>
        <w:footnoteReference w:id="40"/>
      </w:r>
    </w:p>
    <w:p w:rsidR="00646999" w:rsidRPr="00703481" w:rsidRDefault="00646999" w:rsidP="00816622">
      <w:pPr>
        <w:bidi/>
        <w:rPr>
          <w:rFonts w:cs="Traditional Arabic"/>
          <w:sz w:val="32"/>
          <w:szCs w:val="32"/>
        </w:rPr>
      </w:pPr>
      <w:r w:rsidRPr="00703481">
        <w:rPr>
          <w:rFonts w:cs="Traditional Arabic"/>
          <w:sz w:val="32"/>
          <w:szCs w:val="32"/>
          <w:rtl/>
        </w:rPr>
        <w:t>ووجه الوفاق هو انفراد الأجير المشترك بالعمل الذي استؤجر عليه، وترجيح جانب التفريط في حقه، فكذلك المضارب في وضعه بالنسبة للمستثمرين، حيث ينفرد بإدارة المال، فلو لم يكن ضامناً لأدى به الحال إلى إضاعة المال سعياً وراء الكسب السريع</w:t>
      </w:r>
      <w:r w:rsidR="00816622">
        <w:rPr>
          <w:rFonts w:cs="Traditional Arabic" w:hint="cs"/>
          <w:sz w:val="32"/>
          <w:szCs w:val="32"/>
          <w:rtl/>
        </w:rPr>
        <w:t>.</w:t>
      </w:r>
      <w:r w:rsidRPr="00703481">
        <w:rPr>
          <w:rStyle w:val="a4"/>
          <w:rFonts w:cs="Traditional Arabic"/>
          <w:sz w:val="32"/>
          <w:szCs w:val="32"/>
          <w:rtl/>
        </w:rPr>
        <w:footnoteReference w:id="41"/>
      </w:r>
    </w:p>
    <w:p w:rsidR="00B317F5" w:rsidRDefault="00B317F5" w:rsidP="00E2798A">
      <w:pPr>
        <w:bidi/>
        <w:rPr>
          <w:rFonts w:cs="Traditional Arabic" w:hint="cs"/>
          <w:b/>
          <w:bCs/>
          <w:sz w:val="32"/>
          <w:szCs w:val="32"/>
          <w:rtl/>
        </w:rPr>
      </w:pPr>
      <w:r>
        <w:rPr>
          <w:rFonts w:cs="Traditional Arabic" w:hint="cs"/>
          <w:b/>
          <w:bCs/>
          <w:sz w:val="32"/>
          <w:szCs w:val="32"/>
          <w:rtl/>
        </w:rPr>
        <w:t>الترجيح</w:t>
      </w:r>
      <w:r w:rsidR="00D463D3">
        <w:rPr>
          <w:rFonts w:cs="Traditional Arabic" w:hint="cs"/>
          <w:b/>
          <w:bCs/>
          <w:sz w:val="32"/>
          <w:szCs w:val="32"/>
          <w:rtl/>
        </w:rPr>
        <w:t xml:space="preserve"> والاقتراح</w:t>
      </w:r>
    </w:p>
    <w:p w:rsidR="00DA60BD" w:rsidRDefault="00080BF5" w:rsidP="00695F8F">
      <w:pPr>
        <w:bidi/>
        <w:rPr>
          <w:rFonts w:cs="Traditional Arabic" w:hint="cs"/>
          <w:sz w:val="32"/>
          <w:szCs w:val="32"/>
          <w:rtl/>
        </w:rPr>
      </w:pPr>
      <w:bookmarkStart w:id="1" w:name="أخر"/>
      <w:bookmarkEnd w:id="1"/>
      <w:r>
        <w:rPr>
          <w:rFonts w:cs="Traditional Arabic" w:hint="cs"/>
          <w:sz w:val="32"/>
          <w:szCs w:val="32"/>
          <w:rtl/>
          <w:lang w:val="en-GB"/>
        </w:rPr>
        <w:t>وبعد التأمل إلى القولين وأدلتهم</w:t>
      </w:r>
      <w:r w:rsidR="00CA6008">
        <w:rPr>
          <w:rFonts w:cs="Traditional Arabic" w:hint="cs"/>
          <w:sz w:val="32"/>
          <w:szCs w:val="32"/>
          <w:rtl/>
        </w:rPr>
        <w:t xml:space="preserve"> ، يرى الباحث أن رأي الجمهور </w:t>
      </w:r>
      <w:r w:rsidR="00695F8F">
        <w:rPr>
          <w:rFonts w:cs="Traditional Arabic" w:hint="cs"/>
          <w:sz w:val="32"/>
          <w:szCs w:val="32"/>
          <w:rtl/>
        </w:rPr>
        <w:t>متماشي مع</w:t>
      </w:r>
      <w:r w:rsidR="00CA6008">
        <w:rPr>
          <w:rFonts w:cs="Traditional Arabic" w:hint="cs"/>
          <w:sz w:val="32"/>
          <w:szCs w:val="32"/>
          <w:rtl/>
        </w:rPr>
        <w:t xml:space="preserve"> الأصل </w:t>
      </w:r>
      <w:r w:rsidR="008439B2">
        <w:rPr>
          <w:rFonts w:cs="Traditional Arabic" w:hint="cs"/>
          <w:sz w:val="32"/>
          <w:szCs w:val="32"/>
          <w:rtl/>
        </w:rPr>
        <w:t xml:space="preserve">في المسألة ، </w:t>
      </w:r>
      <w:r w:rsidR="00DA60BD">
        <w:rPr>
          <w:rFonts w:cs="Traditional Arabic" w:hint="cs"/>
          <w:sz w:val="32"/>
          <w:szCs w:val="32"/>
          <w:rtl/>
        </w:rPr>
        <w:t>كما وضّحه صاح</w:t>
      </w:r>
      <w:r w:rsidR="008F7201">
        <w:rPr>
          <w:rFonts w:cs="Traditional Arabic" w:hint="cs"/>
          <w:sz w:val="32"/>
          <w:szCs w:val="32"/>
          <w:rtl/>
        </w:rPr>
        <w:t xml:space="preserve">ب درر الحكام بأن للمضاربة مراحل ، فالإيداع أولًا لأنه قبض المال بإذن مالكه لا على وجه المبادلة </w:t>
      </w:r>
      <w:r w:rsidR="00695F8F">
        <w:rPr>
          <w:rFonts w:cs="Traditional Arabic" w:hint="cs"/>
          <w:sz w:val="32"/>
          <w:szCs w:val="32"/>
          <w:rtl/>
        </w:rPr>
        <w:t xml:space="preserve">، </w:t>
      </w:r>
      <w:r w:rsidR="008F7201">
        <w:rPr>
          <w:rFonts w:cs="Traditional Arabic" w:hint="cs"/>
          <w:sz w:val="32"/>
          <w:szCs w:val="32"/>
          <w:rtl/>
        </w:rPr>
        <w:t>وتوكيل عند عمله لأنه يتصرف فيه له بأمر حتى يرجع بما لحقه من العهدة على رب المال، ثم الشركة إن ربح لأنه يحصل بالمال والعمل فيشتركان فيه ، وغصب إن خالف لتعديه على مال غيره فيكون ضامنا.</w:t>
      </w:r>
      <w:r w:rsidR="008F7201">
        <w:rPr>
          <w:rStyle w:val="a4"/>
          <w:rFonts w:cs="Traditional Arabic"/>
          <w:sz w:val="32"/>
          <w:szCs w:val="32"/>
          <w:rtl/>
        </w:rPr>
        <w:footnoteReference w:id="42"/>
      </w:r>
      <w:r w:rsidR="009A3353">
        <w:rPr>
          <w:rFonts w:cs="Traditional Arabic" w:hint="cs"/>
          <w:sz w:val="32"/>
          <w:szCs w:val="32"/>
          <w:rtl/>
        </w:rPr>
        <w:t xml:space="preserve"> قد لاحظنا بأن المعاملة بين الطرفين منذ البداية مبنية على الثقة والأمانة. وهناك الأدلة القوية يقدمها الجمهور تدعم هذا المبدأ</w:t>
      </w:r>
      <w:r w:rsidR="00D463D3">
        <w:rPr>
          <w:rFonts w:cs="Traditional Arabic" w:hint="cs"/>
          <w:sz w:val="32"/>
          <w:szCs w:val="32"/>
          <w:rtl/>
        </w:rPr>
        <w:t>.</w:t>
      </w:r>
      <w:r w:rsidR="00695F8F">
        <w:rPr>
          <w:rFonts w:cs="Traditional Arabic" w:hint="cs"/>
          <w:sz w:val="32"/>
          <w:szCs w:val="32"/>
          <w:rtl/>
        </w:rPr>
        <w:t xml:space="preserve"> فبناءً على هذه المبررات ، نستطيع أن نقول بأن رأي الجمهور أقوى وأرجح.</w:t>
      </w:r>
    </w:p>
    <w:p w:rsidR="00FF1B1F" w:rsidRDefault="00D463D3" w:rsidP="00695F8F">
      <w:pPr>
        <w:bidi/>
        <w:rPr>
          <w:rFonts w:cs="Traditional Arabic" w:hint="cs"/>
          <w:sz w:val="32"/>
          <w:szCs w:val="32"/>
          <w:rtl/>
        </w:rPr>
      </w:pPr>
      <w:r>
        <w:rPr>
          <w:rFonts w:cs="Traditional Arabic" w:hint="cs"/>
          <w:sz w:val="32"/>
          <w:szCs w:val="32"/>
          <w:rtl/>
        </w:rPr>
        <w:t xml:space="preserve">أما رأي بعض الفقهاء، من ضمنهم الشوكاني رحمه الله </w:t>
      </w:r>
      <w:r w:rsidR="00D866C5">
        <w:rPr>
          <w:rFonts w:cs="Traditional Arabic" w:hint="cs"/>
          <w:sz w:val="32"/>
          <w:szCs w:val="32"/>
          <w:rtl/>
        </w:rPr>
        <w:t>، مبني على أمرين :</w:t>
      </w:r>
      <w:r w:rsidR="00695F8F">
        <w:rPr>
          <w:rFonts w:cs="Traditional Arabic" w:hint="cs"/>
          <w:sz w:val="32"/>
          <w:szCs w:val="32"/>
          <w:rtl/>
        </w:rPr>
        <w:t xml:space="preserve"> أولاً ،</w:t>
      </w:r>
      <w:r w:rsidR="00D866C5">
        <w:rPr>
          <w:rFonts w:cs="Traditional Arabic" w:hint="cs"/>
          <w:sz w:val="32"/>
          <w:szCs w:val="32"/>
          <w:rtl/>
        </w:rPr>
        <w:t xml:space="preserve"> الاشتراط في ضمان المضارب مبناه التراضي بين الطرفين</w:t>
      </w:r>
      <w:r w:rsidR="00695F8F">
        <w:rPr>
          <w:rFonts w:cs="Traditional Arabic" w:hint="cs"/>
          <w:sz w:val="32"/>
          <w:szCs w:val="32"/>
          <w:rtl/>
        </w:rPr>
        <w:t>. وثانيًا ،</w:t>
      </w:r>
      <w:r w:rsidR="00D866C5">
        <w:rPr>
          <w:rFonts w:cs="Traditional Arabic" w:hint="cs"/>
          <w:sz w:val="32"/>
          <w:szCs w:val="32"/>
          <w:rtl/>
        </w:rPr>
        <w:t xml:space="preserve"> القياس على مسألة تضمين الصناع والأجير المشترك . </w:t>
      </w:r>
      <w:r w:rsidR="00B0448A">
        <w:rPr>
          <w:rFonts w:cs="Traditional Arabic" w:hint="cs"/>
          <w:sz w:val="32"/>
          <w:szCs w:val="32"/>
          <w:rtl/>
        </w:rPr>
        <w:t>فال</w:t>
      </w:r>
      <w:r w:rsidR="006565C4">
        <w:rPr>
          <w:rFonts w:cs="Traditional Arabic" w:hint="cs"/>
          <w:sz w:val="32"/>
          <w:szCs w:val="32"/>
          <w:rtl/>
        </w:rPr>
        <w:t xml:space="preserve">تراضي في هذه المسألة ليست </w:t>
      </w:r>
      <w:r w:rsidR="00B0448A">
        <w:rPr>
          <w:rFonts w:cs="Traditional Arabic" w:hint="cs"/>
          <w:sz w:val="32"/>
          <w:szCs w:val="32"/>
          <w:rtl/>
        </w:rPr>
        <w:t xml:space="preserve">حجة </w:t>
      </w:r>
      <w:r w:rsidR="006565C4">
        <w:rPr>
          <w:rFonts w:cs="Traditional Arabic" w:hint="cs"/>
          <w:sz w:val="32"/>
          <w:szCs w:val="32"/>
          <w:rtl/>
        </w:rPr>
        <w:t xml:space="preserve">قوية لمخالفة الأصل ومقتضى العقد ، وفضلا عن </w:t>
      </w:r>
      <w:r w:rsidR="006565C4">
        <w:rPr>
          <w:rFonts w:cs="Traditional Arabic" w:hint="cs"/>
          <w:sz w:val="32"/>
          <w:szCs w:val="32"/>
          <w:rtl/>
        </w:rPr>
        <w:lastRenderedPageBreak/>
        <w:t>ذلك أنه قد يؤدي إلى الربا المحرم</w:t>
      </w:r>
      <w:r w:rsidR="00E24B0D">
        <w:rPr>
          <w:rFonts w:cs="Traditional Arabic" w:hint="cs"/>
          <w:sz w:val="32"/>
          <w:szCs w:val="32"/>
          <w:rtl/>
        </w:rPr>
        <w:t xml:space="preserve">. وأما القياس على تضمين الصناع بسبب فساد الذمم </w:t>
      </w:r>
      <w:r w:rsidR="00DE7626">
        <w:rPr>
          <w:rFonts w:cs="Traditional Arabic" w:hint="cs"/>
          <w:sz w:val="32"/>
          <w:szCs w:val="32"/>
          <w:rtl/>
        </w:rPr>
        <w:t>و</w:t>
      </w:r>
      <w:r w:rsidR="00695F8F">
        <w:rPr>
          <w:rFonts w:cs="Traditional Arabic" w:hint="cs"/>
          <w:sz w:val="32"/>
          <w:szCs w:val="32"/>
          <w:rtl/>
        </w:rPr>
        <w:t>لحفظ</w:t>
      </w:r>
      <w:r w:rsidR="00DE7626">
        <w:rPr>
          <w:rFonts w:cs="Traditional Arabic" w:hint="cs"/>
          <w:sz w:val="32"/>
          <w:szCs w:val="32"/>
          <w:rtl/>
        </w:rPr>
        <w:t xml:space="preserve"> المصلحة ف</w:t>
      </w:r>
      <w:r w:rsidR="00CF5E8F">
        <w:rPr>
          <w:rFonts w:cs="Traditional Arabic" w:hint="cs"/>
          <w:sz w:val="32"/>
          <w:szCs w:val="32"/>
          <w:rtl/>
        </w:rPr>
        <w:t xml:space="preserve">الحجة معقولة ينبغي أن ننظر إليه ونأخذ في عين الاعتبار عندما نتكلم عن </w:t>
      </w:r>
      <w:r w:rsidR="00DE7626">
        <w:rPr>
          <w:rFonts w:cs="Traditional Arabic" w:hint="cs"/>
          <w:sz w:val="32"/>
          <w:szCs w:val="32"/>
          <w:rtl/>
        </w:rPr>
        <w:t>مسألة ضمان المضارب.</w:t>
      </w:r>
    </w:p>
    <w:p w:rsidR="00DE7626" w:rsidRPr="00DE7626" w:rsidRDefault="00DE7626" w:rsidP="00DE7626">
      <w:pPr>
        <w:bidi/>
        <w:rPr>
          <w:rFonts w:cs="Traditional Arabic" w:hint="cs"/>
          <w:b/>
          <w:bCs/>
          <w:sz w:val="32"/>
          <w:szCs w:val="32"/>
          <w:rtl/>
        </w:rPr>
      </w:pPr>
      <w:r>
        <w:rPr>
          <w:rFonts w:cs="Traditional Arabic" w:hint="cs"/>
          <w:b/>
          <w:bCs/>
          <w:sz w:val="32"/>
          <w:szCs w:val="32"/>
          <w:rtl/>
        </w:rPr>
        <w:t>الحل المقترح</w:t>
      </w:r>
    </w:p>
    <w:p w:rsidR="00DE7626" w:rsidRPr="00703481" w:rsidRDefault="00DE7626" w:rsidP="00193AC8">
      <w:pPr>
        <w:bidi/>
        <w:rPr>
          <w:rFonts w:cs="Traditional Arabic"/>
          <w:sz w:val="32"/>
          <w:szCs w:val="32"/>
          <w:lang w:val="en-US"/>
        </w:rPr>
      </w:pPr>
      <w:r>
        <w:rPr>
          <w:rFonts w:cs="Traditional Arabic" w:hint="cs"/>
          <w:sz w:val="32"/>
          <w:szCs w:val="32"/>
          <w:rtl/>
        </w:rPr>
        <w:t>قد تكلمنا في بداية هذه الورقة أن المنشآت الصغيرة والمتوسطة</w:t>
      </w:r>
      <w:r w:rsidR="00CF5E8F">
        <w:rPr>
          <w:rFonts w:cs="Traditional Arabic" w:hint="cs"/>
          <w:sz w:val="32"/>
          <w:szCs w:val="32"/>
          <w:rtl/>
        </w:rPr>
        <w:t xml:space="preserve"> متغايرة في طبيعتها وقوتها</w:t>
      </w:r>
      <w:r>
        <w:rPr>
          <w:rFonts w:cs="Traditional Arabic" w:hint="cs"/>
          <w:sz w:val="32"/>
          <w:szCs w:val="32"/>
          <w:rtl/>
        </w:rPr>
        <w:t xml:space="preserve"> </w:t>
      </w:r>
      <w:r w:rsidR="00CF5E8F">
        <w:rPr>
          <w:rFonts w:cs="Traditional Arabic" w:hint="cs"/>
          <w:sz w:val="32"/>
          <w:szCs w:val="32"/>
          <w:rtl/>
        </w:rPr>
        <w:t>ومن ثَمّ يؤدي إلى تباين درجة ثقة المؤسسات المالية الإسلامية تجاهها</w:t>
      </w:r>
      <w:r w:rsidR="008C2DE9">
        <w:rPr>
          <w:rFonts w:cs="Traditional Arabic" w:hint="cs"/>
          <w:sz w:val="32"/>
          <w:szCs w:val="32"/>
          <w:rtl/>
        </w:rPr>
        <w:t xml:space="preserve"> ، و</w:t>
      </w:r>
      <w:r w:rsidR="00DD7B0E">
        <w:rPr>
          <w:rFonts w:cs="Traditional Arabic" w:hint="cs"/>
          <w:sz w:val="32"/>
          <w:szCs w:val="32"/>
          <w:rtl/>
        </w:rPr>
        <w:t>كذلك</w:t>
      </w:r>
      <w:r w:rsidR="008C2DE9">
        <w:rPr>
          <w:rFonts w:cs="Traditional Arabic" w:hint="cs"/>
          <w:sz w:val="32"/>
          <w:szCs w:val="32"/>
          <w:rtl/>
        </w:rPr>
        <w:t xml:space="preserve"> تخوف المؤسسات من ضياع مالها له أساس قوي مدعّم بالإحصائية و</w:t>
      </w:r>
      <w:r w:rsidR="006D0817">
        <w:rPr>
          <w:rFonts w:cs="Traditional Arabic" w:hint="cs"/>
          <w:sz w:val="32"/>
          <w:szCs w:val="32"/>
          <w:rtl/>
        </w:rPr>
        <w:t>التجربة الحقيقية سواء كانت في الماضي أو الحالي.</w:t>
      </w:r>
    </w:p>
    <w:p w:rsidR="00061B11" w:rsidRDefault="00695F8F" w:rsidP="00E57D44">
      <w:pPr>
        <w:bidi/>
        <w:rPr>
          <w:rFonts w:cs="Traditional Arabic" w:hint="cs"/>
          <w:sz w:val="32"/>
          <w:szCs w:val="32"/>
          <w:rtl/>
        </w:rPr>
      </w:pPr>
      <w:r w:rsidRPr="00695F8F">
        <w:rPr>
          <w:rFonts w:cs="Traditional Arabic" w:hint="cs"/>
          <w:sz w:val="32"/>
          <w:szCs w:val="32"/>
          <w:rtl/>
          <w:lang w:val="en-US"/>
        </w:rPr>
        <w:t>ولإدارة المخاطر المذكورة أعلاه</w:t>
      </w:r>
      <w:r w:rsidR="00BB5E06">
        <w:rPr>
          <w:rFonts w:cs="Traditional Arabic" w:hint="cs"/>
          <w:sz w:val="32"/>
          <w:szCs w:val="32"/>
          <w:rtl/>
          <w:lang w:val="en-US"/>
        </w:rPr>
        <w:t xml:space="preserve"> ، يقترح الباحث</w:t>
      </w:r>
      <w:r w:rsidR="00061B11">
        <w:rPr>
          <w:rFonts w:cs="Traditional Arabic" w:hint="cs"/>
          <w:sz w:val="32"/>
          <w:szCs w:val="32"/>
          <w:rtl/>
          <w:lang w:val="en-US"/>
        </w:rPr>
        <w:t xml:space="preserve"> الحل الآتي: أن يكون الأصل ضمان المضارب رأس مال المضاربة</w:t>
      </w:r>
      <w:r w:rsidR="0020499E">
        <w:rPr>
          <w:rFonts w:cs="Traditional Arabic" w:hint="cs"/>
          <w:sz w:val="32"/>
          <w:szCs w:val="32"/>
          <w:rtl/>
          <w:lang w:val="en-US"/>
        </w:rPr>
        <w:t xml:space="preserve"> إلا </w:t>
      </w:r>
      <w:r w:rsidR="00E57D44">
        <w:rPr>
          <w:rFonts w:cs="Traditional Arabic" w:hint="cs"/>
          <w:sz w:val="32"/>
          <w:szCs w:val="32"/>
          <w:rtl/>
          <w:lang w:val="en-US"/>
        </w:rPr>
        <w:t xml:space="preserve">عندما </w:t>
      </w:r>
      <w:r w:rsidR="0020499E">
        <w:rPr>
          <w:rFonts w:cs="Traditional Arabic" w:hint="cs"/>
          <w:sz w:val="32"/>
          <w:szCs w:val="32"/>
          <w:rtl/>
          <w:lang w:val="en-US"/>
        </w:rPr>
        <w:t>يستطيع أن</w:t>
      </w:r>
      <w:r w:rsidR="00E57D44">
        <w:rPr>
          <w:rFonts w:cs="Traditional Arabic" w:hint="cs"/>
          <w:sz w:val="32"/>
          <w:szCs w:val="32"/>
          <w:rtl/>
          <w:lang w:val="en-US"/>
        </w:rPr>
        <w:t xml:space="preserve"> يأتي </w:t>
      </w:r>
      <w:r w:rsidR="0020499E">
        <w:rPr>
          <w:rFonts w:cs="Traditional Arabic" w:hint="cs"/>
          <w:sz w:val="32"/>
          <w:szCs w:val="32"/>
          <w:rtl/>
          <w:lang w:val="en-US"/>
        </w:rPr>
        <w:t>المضارب</w:t>
      </w:r>
      <w:r w:rsidR="00E57D44">
        <w:rPr>
          <w:rFonts w:cs="Traditional Arabic" w:hint="cs"/>
          <w:sz w:val="32"/>
          <w:szCs w:val="32"/>
          <w:rtl/>
          <w:lang w:val="en-US"/>
        </w:rPr>
        <w:t xml:space="preserve"> ببينة تدل على عدم تقصيره وتعديته</w:t>
      </w:r>
      <w:r w:rsidR="0020499E">
        <w:rPr>
          <w:rFonts w:cs="Traditional Arabic" w:hint="cs"/>
          <w:sz w:val="32"/>
          <w:szCs w:val="32"/>
          <w:rtl/>
          <w:lang w:val="en-US"/>
        </w:rPr>
        <w:t>. وبعبارة أخري ،</w:t>
      </w:r>
      <w:r w:rsidR="00061B11">
        <w:rPr>
          <w:rFonts w:cs="Traditional Arabic" w:hint="cs"/>
          <w:sz w:val="32"/>
          <w:szCs w:val="32"/>
          <w:rtl/>
          <w:lang w:val="en-US"/>
        </w:rPr>
        <w:t xml:space="preserve"> </w:t>
      </w:r>
      <w:r w:rsidR="00BB5E06" w:rsidRPr="00703481">
        <w:rPr>
          <w:rFonts w:cs="Traditional Arabic" w:hint="cs"/>
          <w:sz w:val="32"/>
          <w:szCs w:val="32"/>
          <w:rtl/>
        </w:rPr>
        <w:t>إذا اد</w:t>
      </w:r>
      <w:r w:rsidR="00BB5E06">
        <w:rPr>
          <w:rFonts w:cs="Traditional Arabic" w:hint="cs"/>
          <w:sz w:val="32"/>
          <w:szCs w:val="32"/>
          <w:rtl/>
        </w:rPr>
        <w:t>ّ</w:t>
      </w:r>
      <w:r w:rsidR="00BB5E06" w:rsidRPr="00703481">
        <w:rPr>
          <w:rFonts w:cs="Traditional Arabic" w:hint="cs"/>
          <w:sz w:val="32"/>
          <w:szCs w:val="32"/>
          <w:rtl/>
        </w:rPr>
        <w:t xml:space="preserve">عى المضارب تلف المال أو طروء الخسارة في تجارته من غير تعد ولا تقصير منه </w:t>
      </w:r>
      <w:r w:rsidR="00061B11">
        <w:rPr>
          <w:rFonts w:cs="Traditional Arabic" w:hint="cs"/>
          <w:sz w:val="32"/>
          <w:szCs w:val="32"/>
          <w:rtl/>
        </w:rPr>
        <w:t>فالبي</w:t>
      </w:r>
      <w:r w:rsidR="0006155E">
        <w:rPr>
          <w:rFonts w:cs="Traditional Arabic" w:hint="cs"/>
          <w:sz w:val="32"/>
          <w:szCs w:val="32"/>
          <w:rtl/>
        </w:rPr>
        <w:t>ّ</w:t>
      </w:r>
      <w:r w:rsidR="00061B11">
        <w:rPr>
          <w:rFonts w:cs="Traditional Arabic" w:hint="cs"/>
          <w:sz w:val="32"/>
          <w:szCs w:val="32"/>
          <w:rtl/>
        </w:rPr>
        <w:t>نة عليه</w:t>
      </w:r>
      <w:r w:rsidR="00310BF4">
        <w:rPr>
          <w:rFonts w:cs="Traditional Arabic" w:hint="cs"/>
          <w:sz w:val="32"/>
          <w:szCs w:val="32"/>
          <w:rtl/>
        </w:rPr>
        <w:t xml:space="preserve">. </w:t>
      </w:r>
      <w:r w:rsidR="0006155E">
        <w:rPr>
          <w:rFonts w:cs="Traditional Arabic" w:hint="cs"/>
          <w:sz w:val="32"/>
          <w:szCs w:val="32"/>
          <w:rtl/>
        </w:rPr>
        <w:t>ويتم تطبيق هذا الحل لمن عليه تهمة</w:t>
      </w:r>
      <w:r w:rsidR="002C028C">
        <w:rPr>
          <w:rFonts w:cs="Traditional Arabic" w:hint="cs"/>
          <w:sz w:val="32"/>
          <w:szCs w:val="32"/>
          <w:rtl/>
        </w:rPr>
        <w:t xml:space="preserve"> التقصير والتعدي</w:t>
      </w:r>
      <w:r w:rsidR="0006155E">
        <w:rPr>
          <w:rFonts w:cs="Traditional Arabic" w:hint="cs"/>
          <w:sz w:val="32"/>
          <w:szCs w:val="32"/>
          <w:rtl/>
        </w:rPr>
        <w:t xml:space="preserve"> فقط. وبالنسبة لنماذج التي تكلمنا عنها في هذه الورقة</w:t>
      </w:r>
      <w:r w:rsidR="00600F70">
        <w:rPr>
          <w:rFonts w:cs="Traditional Arabic" w:hint="cs"/>
          <w:sz w:val="32"/>
          <w:szCs w:val="32"/>
          <w:rtl/>
        </w:rPr>
        <w:t xml:space="preserve"> وهي المنشآت الصغيرة والمتوسطة</w:t>
      </w:r>
      <w:r w:rsidR="0006155E">
        <w:rPr>
          <w:rFonts w:cs="Traditional Arabic" w:hint="cs"/>
          <w:sz w:val="32"/>
          <w:szCs w:val="32"/>
          <w:rtl/>
        </w:rPr>
        <w:t xml:space="preserve"> ، فيمكن أن نتطبق هذا الحل على الشركات المصغرة والصغيرة وجديدة الإنشاء</w:t>
      </w:r>
      <w:r w:rsidR="00CE521B">
        <w:rPr>
          <w:rFonts w:cs="Traditional Arabic" w:hint="cs"/>
          <w:sz w:val="32"/>
          <w:szCs w:val="32"/>
          <w:rtl/>
        </w:rPr>
        <w:t xml:space="preserve"> في قطاعات معينة فقط</w:t>
      </w:r>
      <w:r w:rsidR="002C028C">
        <w:rPr>
          <w:rFonts w:cs="Traditional Arabic" w:hint="cs"/>
          <w:sz w:val="32"/>
          <w:szCs w:val="32"/>
          <w:rtl/>
        </w:rPr>
        <w:t xml:space="preserve"> التي تتهم بالتقصير والتعدي.</w:t>
      </w:r>
      <w:r w:rsidR="00314343">
        <w:rPr>
          <w:rFonts w:cs="Traditional Arabic" w:hint="cs"/>
          <w:sz w:val="32"/>
          <w:szCs w:val="32"/>
          <w:rtl/>
        </w:rPr>
        <w:t xml:space="preserve"> </w:t>
      </w:r>
    </w:p>
    <w:p w:rsidR="00314343" w:rsidRDefault="00314343" w:rsidP="00314343">
      <w:pPr>
        <w:bidi/>
        <w:rPr>
          <w:rFonts w:cs="Traditional Arabic" w:hint="cs"/>
          <w:sz w:val="32"/>
          <w:szCs w:val="32"/>
          <w:rtl/>
        </w:rPr>
      </w:pPr>
      <w:r w:rsidRPr="00607615">
        <w:rPr>
          <w:rFonts w:cs="Traditional Arabic" w:hint="cs"/>
          <w:b/>
          <w:bCs/>
          <w:sz w:val="32"/>
          <w:szCs w:val="32"/>
          <w:rtl/>
        </w:rPr>
        <w:t>ومبررات هذا الحل المقترح كالآتية</w:t>
      </w:r>
      <w:r>
        <w:rPr>
          <w:rFonts w:cs="Traditional Arabic" w:hint="cs"/>
          <w:sz w:val="32"/>
          <w:szCs w:val="32"/>
          <w:rtl/>
        </w:rPr>
        <w:t>:</w:t>
      </w:r>
    </w:p>
    <w:p w:rsidR="00314343" w:rsidRDefault="00314343" w:rsidP="00314343">
      <w:pPr>
        <w:bidi/>
        <w:rPr>
          <w:rFonts w:cs="Traditional Arabic" w:hint="cs"/>
          <w:sz w:val="32"/>
          <w:szCs w:val="32"/>
          <w:rtl/>
        </w:rPr>
      </w:pPr>
      <w:r>
        <w:rPr>
          <w:rFonts w:cs="Traditional Arabic" w:hint="cs"/>
          <w:sz w:val="32"/>
          <w:szCs w:val="32"/>
          <w:rtl/>
        </w:rPr>
        <w:t>أولاً: هذا الحل المقترح لا يغير ما هو الأصل في المضاربة وهو أن المضارب أمين فلا يضمن إلا في حالة التقصير والتعدي فقط.</w:t>
      </w:r>
    </w:p>
    <w:p w:rsidR="00314343" w:rsidRDefault="00314343" w:rsidP="00E05B33">
      <w:pPr>
        <w:bidi/>
        <w:rPr>
          <w:rFonts w:cs="Traditional Arabic" w:hint="cs"/>
          <w:sz w:val="32"/>
          <w:szCs w:val="32"/>
          <w:rtl/>
        </w:rPr>
      </w:pPr>
      <w:r>
        <w:rPr>
          <w:rFonts w:cs="Traditional Arabic" w:hint="cs"/>
          <w:sz w:val="32"/>
          <w:szCs w:val="32"/>
          <w:rtl/>
        </w:rPr>
        <w:t>ثاني</w:t>
      </w:r>
      <w:r w:rsidR="00E71BEE">
        <w:rPr>
          <w:rFonts w:cs="Traditional Arabic" w:hint="cs"/>
          <w:sz w:val="32"/>
          <w:szCs w:val="32"/>
          <w:rtl/>
        </w:rPr>
        <w:t>ً</w:t>
      </w:r>
      <w:r>
        <w:rPr>
          <w:rFonts w:cs="Traditional Arabic" w:hint="cs"/>
          <w:sz w:val="32"/>
          <w:szCs w:val="32"/>
          <w:rtl/>
        </w:rPr>
        <w:t xml:space="preserve">ا: </w:t>
      </w:r>
      <w:r w:rsidR="00E71BEE">
        <w:rPr>
          <w:rFonts w:cs="Traditional Arabic" w:hint="cs"/>
          <w:sz w:val="32"/>
          <w:szCs w:val="32"/>
          <w:rtl/>
        </w:rPr>
        <w:t>الجزء الذي يختلف هذا الحل المقترح عن رأي جمهور الفقهاء هو في البينة فقط ، فعند الجمهور ، الكلام كلام المضارب ، ومن يدّعي خلاف ذلك فعليه أن يأتي بالبينة. ورأي الجمهور تمشيا مع الأصل وهو أن المضارب أمين</w:t>
      </w:r>
      <w:r w:rsidR="00712724">
        <w:rPr>
          <w:rFonts w:cs="Traditional Arabic" w:hint="cs"/>
          <w:sz w:val="32"/>
          <w:szCs w:val="32"/>
          <w:rtl/>
        </w:rPr>
        <w:t xml:space="preserve"> فالكلام كلامه</w:t>
      </w:r>
      <w:r w:rsidR="00E71BEE">
        <w:rPr>
          <w:rFonts w:cs="Traditional Arabic" w:hint="cs"/>
          <w:sz w:val="32"/>
          <w:szCs w:val="32"/>
          <w:rtl/>
        </w:rPr>
        <w:t xml:space="preserve"> ومطبقا</w:t>
      </w:r>
      <w:r w:rsidR="00712724">
        <w:rPr>
          <w:rFonts w:cs="Traditional Arabic" w:hint="cs"/>
          <w:sz w:val="32"/>
          <w:szCs w:val="32"/>
          <w:rtl/>
        </w:rPr>
        <w:t xml:space="preserve"> أيضا</w:t>
      </w:r>
      <w:r w:rsidR="00E71BEE">
        <w:rPr>
          <w:rFonts w:cs="Traditional Arabic" w:hint="cs"/>
          <w:sz w:val="32"/>
          <w:szCs w:val="32"/>
          <w:rtl/>
        </w:rPr>
        <w:t xml:space="preserve"> مع </w:t>
      </w:r>
      <w:r w:rsidR="00712724">
        <w:rPr>
          <w:rFonts w:cs="Traditional Arabic" w:hint="cs"/>
          <w:sz w:val="32"/>
          <w:szCs w:val="32"/>
          <w:rtl/>
        </w:rPr>
        <w:t>القاعدة</w:t>
      </w:r>
      <w:r w:rsidR="00E05B33">
        <w:rPr>
          <w:rFonts w:cs="Traditional Arabic" w:hint="cs"/>
          <w:sz w:val="32"/>
          <w:szCs w:val="32"/>
          <w:rtl/>
        </w:rPr>
        <w:t xml:space="preserve"> المشهورة</w:t>
      </w:r>
      <w:r w:rsidR="00E71BEE">
        <w:rPr>
          <w:rFonts w:cs="Traditional Arabic" w:hint="cs"/>
          <w:sz w:val="32"/>
          <w:szCs w:val="32"/>
          <w:rtl/>
        </w:rPr>
        <w:t xml:space="preserve"> البينة على المدعي</w:t>
      </w:r>
      <w:r w:rsidR="00712724">
        <w:rPr>
          <w:rFonts w:cs="Traditional Arabic" w:hint="cs"/>
          <w:sz w:val="32"/>
          <w:szCs w:val="32"/>
          <w:rtl/>
        </w:rPr>
        <w:t xml:space="preserve"> واليمين على من أنكر.</w:t>
      </w:r>
      <w:r w:rsidR="00E05B33">
        <w:rPr>
          <w:rStyle w:val="a4"/>
          <w:rFonts w:cs="Traditional Arabic"/>
          <w:sz w:val="32"/>
          <w:szCs w:val="32"/>
          <w:rtl/>
        </w:rPr>
        <w:footnoteReference w:id="43"/>
      </w:r>
    </w:p>
    <w:p w:rsidR="002F05DC" w:rsidRDefault="00B96B72" w:rsidP="00607615">
      <w:pPr>
        <w:bidi/>
        <w:rPr>
          <w:rFonts w:cs="Traditional Arabic" w:hint="cs"/>
          <w:sz w:val="32"/>
          <w:szCs w:val="32"/>
          <w:rtl/>
        </w:rPr>
      </w:pPr>
      <w:r>
        <w:rPr>
          <w:rFonts w:cs="Traditional Arabic" w:hint="cs"/>
          <w:sz w:val="32"/>
          <w:szCs w:val="32"/>
          <w:rtl/>
        </w:rPr>
        <w:lastRenderedPageBreak/>
        <w:t xml:space="preserve">يرى الباحث أن الخلاف هنا هو خلاف شكلي فحسب. لو تأملنا مبدأ "البينة على المدعي واليمين على من أنكر" ، وجدنا أن البينة دائما على من يدعي </w:t>
      </w:r>
      <w:r w:rsidR="00607615">
        <w:rPr>
          <w:rFonts w:cs="Traditional Arabic" w:hint="cs"/>
          <w:sz w:val="32"/>
          <w:szCs w:val="32"/>
          <w:rtl/>
        </w:rPr>
        <w:t>ب</w:t>
      </w:r>
      <w:r>
        <w:rPr>
          <w:rFonts w:cs="Traditional Arabic" w:hint="cs"/>
          <w:sz w:val="32"/>
          <w:szCs w:val="32"/>
          <w:rtl/>
        </w:rPr>
        <w:t xml:space="preserve">أمر يخالف الأصل ، فمن يدعي ، على سبيل المثال ، أن فلانا قد سرق ، فالبينة على المدعي لأن دعواه مخالف لأصل براءة الذمة أو البراءة الأصلية. وإذا لم يستطيع المدعي أن يأتي بالبينة ، فيكتفي </w:t>
      </w:r>
      <w:r w:rsidR="00DC1E9A">
        <w:rPr>
          <w:rFonts w:cs="Traditional Arabic" w:hint="cs"/>
          <w:sz w:val="32"/>
          <w:szCs w:val="32"/>
          <w:rtl/>
        </w:rPr>
        <w:t xml:space="preserve">بإنكار </w:t>
      </w:r>
      <w:r>
        <w:rPr>
          <w:rFonts w:cs="Traditional Arabic" w:hint="cs"/>
          <w:sz w:val="32"/>
          <w:szCs w:val="32"/>
          <w:rtl/>
        </w:rPr>
        <w:t xml:space="preserve">المدعى عليه </w:t>
      </w:r>
      <w:r w:rsidR="00DC1E9A">
        <w:rPr>
          <w:rFonts w:cs="Traditional Arabic" w:hint="cs"/>
          <w:sz w:val="32"/>
          <w:szCs w:val="32"/>
          <w:rtl/>
        </w:rPr>
        <w:t xml:space="preserve">مع يمينه. ولكن في حالة إتيان المدّعِي بالبينة </w:t>
      </w:r>
      <w:r w:rsidR="004227DE">
        <w:rPr>
          <w:rFonts w:cs="Traditional Arabic" w:hint="cs"/>
          <w:sz w:val="32"/>
          <w:szCs w:val="32"/>
          <w:rtl/>
        </w:rPr>
        <w:t>فلا يكتفى بإنكار المدَّعَى عليه بيمينه بل لابد من دعم إنكاره ببينة أقوى من بينة المدّعِي</w:t>
      </w:r>
      <w:r w:rsidR="000263D4">
        <w:rPr>
          <w:rFonts w:cs="Traditional Arabic" w:hint="cs"/>
          <w:sz w:val="32"/>
          <w:szCs w:val="32"/>
          <w:rtl/>
        </w:rPr>
        <w:t xml:space="preserve">، </w:t>
      </w:r>
      <w:r w:rsidR="004227DE">
        <w:rPr>
          <w:rFonts w:cs="Traditional Arabic" w:hint="cs"/>
          <w:sz w:val="32"/>
          <w:szCs w:val="32"/>
          <w:rtl/>
        </w:rPr>
        <w:t>والبينة مطلوبة من المد</w:t>
      </w:r>
      <w:r w:rsidR="000263D4">
        <w:rPr>
          <w:rFonts w:cs="Traditional Arabic" w:hint="cs"/>
          <w:sz w:val="32"/>
          <w:szCs w:val="32"/>
          <w:rtl/>
        </w:rPr>
        <w:t>ّ</w:t>
      </w:r>
      <w:r w:rsidR="004227DE">
        <w:rPr>
          <w:rFonts w:cs="Traditional Arabic" w:hint="cs"/>
          <w:sz w:val="32"/>
          <w:szCs w:val="32"/>
          <w:rtl/>
        </w:rPr>
        <w:t>ع</w:t>
      </w:r>
      <w:r w:rsidR="000263D4">
        <w:rPr>
          <w:rFonts w:cs="Traditional Arabic" w:hint="cs"/>
          <w:sz w:val="32"/>
          <w:szCs w:val="32"/>
          <w:rtl/>
        </w:rPr>
        <w:t>َ</w:t>
      </w:r>
      <w:r w:rsidR="004227DE">
        <w:rPr>
          <w:rFonts w:cs="Traditional Arabic" w:hint="cs"/>
          <w:sz w:val="32"/>
          <w:szCs w:val="32"/>
          <w:rtl/>
        </w:rPr>
        <w:t>ى عليه لأنه في محل التهمة</w:t>
      </w:r>
      <w:r w:rsidR="000263D4">
        <w:rPr>
          <w:rFonts w:cs="Traditional Arabic" w:hint="cs"/>
          <w:sz w:val="32"/>
          <w:szCs w:val="32"/>
          <w:rtl/>
        </w:rPr>
        <w:t xml:space="preserve"> الناشئة من</w:t>
      </w:r>
      <w:r w:rsidR="004227DE">
        <w:rPr>
          <w:rFonts w:cs="Traditional Arabic" w:hint="cs"/>
          <w:sz w:val="32"/>
          <w:szCs w:val="32"/>
          <w:rtl/>
        </w:rPr>
        <w:t xml:space="preserve"> ب</w:t>
      </w:r>
      <w:r w:rsidR="000263D4">
        <w:rPr>
          <w:rFonts w:cs="Traditional Arabic" w:hint="cs"/>
          <w:sz w:val="32"/>
          <w:szCs w:val="32"/>
          <w:rtl/>
        </w:rPr>
        <w:t>َ</w:t>
      </w:r>
      <w:r w:rsidR="004227DE">
        <w:rPr>
          <w:rFonts w:cs="Traditional Arabic" w:hint="cs"/>
          <w:sz w:val="32"/>
          <w:szCs w:val="32"/>
          <w:rtl/>
        </w:rPr>
        <w:t>ي</w:t>
      </w:r>
      <w:r w:rsidR="000263D4">
        <w:rPr>
          <w:rFonts w:cs="Traditional Arabic" w:hint="cs"/>
          <w:sz w:val="32"/>
          <w:szCs w:val="32"/>
          <w:rtl/>
        </w:rPr>
        <w:t xml:space="preserve">ــّنة المدعي </w:t>
      </w:r>
      <w:r w:rsidR="000B6E34">
        <w:rPr>
          <w:rFonts w:cs="Traditional Arabic" w:hint="cs"/>
          <w:sz w:val="32"/>
          <w:szCs w:val="32"/>
          <w:rtl/>
        </w:rPr>
        <w:t>الذي في نفس الوقت قد أزالت الحكم الأصلي وهو البراءة الأصلية من نفس المدّعَى عليه. هذا ما حصل لمريم عليها السلام عندما</w:t>
      </w:r>
      <w:r w:rsidR="002F05DC">
        <w:rPr>
          <w:rFonts w:cs="Traditional Arabic" w:hint="cs"/>
          <w:sz w:val="32"/>
          <w:szCs w:val="32"/>
          <w:rtl/>
        </w:rPr>
        <w:t xml:space="preserve"> اتهمت بالزنا لأنها قد </w:t>
      </w:r>
      <w:r w:rsidR="000B6E34">
        <w:rPr>
          <w:rFonts w:cs="Traditional Arabic" w:hint="cs"/>
          <w:sz w:val="32"/>
          <w:szCs w:val="32"/>
          <w:rtl/>
        </w:rPr>
        <w:t>أولد</w:t>
      </w:r>
      <w:r w:rsidR="002F05DC">
        <w:rPr>
          <w:rFonts w:cs="Traditional Arabic" w:hint="cs"/>
          <w:sz w:val="32"/>
          <w:szCs w:val="32"/>
          <w:rtl/>
        </w:rPr>
        <w:t>ت</w:t>
      </w:r>
      <w:r w:rsidR="000B6E34">
        <w:rPr>
          <w:rFonts w:cs="Traditional Arabic" w:hint="cs"/>
          <w:sz w:val="32"/>
          <w:szCs w:val="32"/>
          <w:rtl/>
        </w:rPr>
        <w:t xml:space="preserve"> عيسى عليه السلام بدون الأب</w:t>
      </w:r>
      <w:r w:rsidR="004227DE">
        <w:rPr>
          <w:rFonts w:cs="Traditional Arabic" w:hint="cs"/>
          <w:sz w:val="32"/>
          <w:szCs w:val="32"/>
          <w:rtl/>
        </w:rPr>
        <w:t xml:space="preserve"> </w:t>
      </w:r>
      <w:r w:rsidR="002F05DC">
        <w:rPr>
          <w:rFonts w:cs="Traditional Arabic" w:hint="cs"/>
          <w:sz w:val="32"/>
          <w:szCs w:val="32"/>
          <w:rtl/>
        </w:rPr>
        <w:t>، فأصل براءة الذمة غير معمول هنا لأنها في محل التهمة ، فأشارت مريم إلى عيسى عليه السلام كبينة لها  : "ويكلم الناس في المهد وكهلا ومن الصالحين."</w:t>
      </w:r>
      <w:r w:rsidR="002F05DC">
        <w:rPr>
          <w:rStyle w:val="a4"/>
          <w:rFonts w:cs="Traditional Arabic"/>
          <w:sz w:val="32"/>
          <w:szCs w:val="32"/>
          <w:rtl/>
        </w:rPr>
        <w:footnoteReference w:id="44"/>
      </w:r>
      <w:r w:rsidR="002F05DC">
        <w:rPr>
          <w:rFonts w:cs="Traditional Arabic" w:hint="cs"/>
          <w:sz w:val="32"/>
          <w:szCs w:val="32"/>
          <w:rtl/>
        </w:rPr>
        <w:t xml:space="preserve"> </w:t>
      </w:r>
    </w:p>
    <w:p w:rsidR="004A05D0" w:rsidRDefault="002F05DC" w:rsidP="00937745">
      <w:pPr>
        <w:bidi/>
        <w:rPr>
          <w:rFonts w:cs="Traditional Arabic" w:hint="cs"/>
          <w:sz w:val="32"/>
          <w:szCs w:val="32"/>
          <w:rtl/>
        </w:rPr>
      </w:pPr>
      <w:r>
        <w:rPr>
          <w:rFonts w:cs="Traditional Arabic" w:hint="cs"/>
          <w:sz w:val="32"/>
          <w:szCs w:val="32"/>
          <w:rtl/>
        </w:rPr>
        <w:t>فالخلاصة هنا ،</w:t>
      </w:r>
      <w:r w:rsidR="00902F34">
        <w:rPr>
          <w:rFonts w:cs="Traditional Arabic" w:hint="cs"/>
          <w:sz w:val="32"/>
          <w:szCs w:val="32"/>
          <w:rtl/>
        </w:rPr>
        <w:t xml:space="preserve"> إنه</w:t>
      </w:r>
      <w:r>
        <w:rPr>
          <w:rFonts w:cs="Traditional Arabic" w:hint="cs"/>
          <w:sz w:val="32"/>
          <w:szCs w:val="32"/>
          <w:rtl/>
        </w:rPr>
        <w:t xml:space="preserve"> </w:t>
      </w:r>
      <w:r w:rsidR="004A05D0">
        <w:rPr>
          <w:rFonts w:cs="Traditional Arabic" w:hint="cs"/>
          <w:sz w:val="32"/>
          <w:szCs w:val="32"/>
          <w:rtl/>
        </w:rPr>
        <w:t>لا يلزم أن تكون البينة على المدعي وإن كان هذا هو الأصل ، بل الأدَقّ في الكلام أن نقول بأن البينة على من عليه التهمة. هذا ما صرّح به البهوتي حيث يقول: "</w:t>
      </w:r>
      <w:r w:rsidR="004A05D0" w:rsidRPr="00703481">
        <w:rPr>
          <w:rFonts w:cs="Traditional Arabic" w:hint="cs"/>
          <w:sz w:val="32"/>
          <w:szCs w:val="32"/>
          <w:rtl/>
        </w:rPr>
        <w:t>ومحل هذا الحكم فيما إذا حصل التنازع بينهما ولم يكن مع رب المال بينة. أما إذا أتى رب المال ببينة تشهد بخلاف ما ادعاه المضارب، يعمل ببينة على ما تقرر في فنِّ القضاء</w:t>
      </w:r>
      <w:r w:rsidR="004A05D0">
        <w:rPr>
          <w:rFonts w:cs="Traditional Arabic" w:hint="cs"/>
          <w:sz w:val="32"/>
          <w:szCs w:val="32"/>
          <w:rtl/>
        </w:rPr>
        <w:t>."</w:t>
      </w:r>
      <w:r w:rsidR="004A05D0" w:rsidRPr="00703481">
        <w:rPr>
          <w:rStyle w:val="a4"/>
          <w:rFonts w:cs="Traditional Arabic"/>
          <w:sz w:val="32"/>
          <w:szCs w:val="32"/>
          <w:rtl/>
        </w:rPr>
        <w:footnoteReference w:id="45"/>
      </w:r>
    </w:p>
    <w:p w:rsidR="00902F34" w:rsidRDefault="00902F34" w:rsidP="008D13DE">
      <w:pPr>
        <w:bidi/>
        <w:rPr>
          <w:rFonts w:cs="Traditional Arabic" w:hint="cs"/>
          <w:sz w:val="32"/>
          <w:szCs w:val="32"/>
          <w:rtl/>
        </w:rPr>
      </w:pPr>
      <w:r>
        <w:rPr>
          <w:rFonts w:cs="Traditional Arabic" w:hint="cs"/>
          <w:sz w:val="32"/>
          <w:szCs w:val="32"/>
          <w:rtl/>
        </w:rPr>
        <w:t>وهذا أيضا تعليل ما ر</w:t>
      </w:r>
      <w:r w:rsidR="008E4D6C">
        <w:rPr>
          <w:rFonts w:cs="Traditional Arabic" w:hint="cs"/>
          <w:sz w:val="32"/>
          <w:szCs w:val="32"/>
          <w:rtl/>
        </w:rPr>
        <w:t>ُ</w:t>
      </w:r>
      <w:r>
        <w:rPr>
          <w:rFonts w:cs="Traditional Arabic" w:hint="cs"/>
          <w:sz w:val="32"/>
          <w:szCs w:val="32"/>
          <w:rtl/>
        </w:rPr>
        <w:t>وي عن رأي الإمام مالك رحمه الله أن المضارب ضامن إذا ادعى خسارة وكان وجه ما ادعاه غير معروف</w:t>
      </w:r>
      <w:r w:rsidR="008E4D6C">
        <w:rPr>
          <w:rFonts w:cs="Traditional Arabic" w:hint="cs"/>
          <w:sz w:val="32"/>
          <w:szCs w:val="32"/>
          <w:rtl/>
        </w:rPr>
        <w:t>،</w:t>
      </w:r>
      <w:r>
        <w:rPr>
          <w:rStyle w:val="a4"/>
          <w:rFonts w:cs="Traditional Arabic"/>
          <w:sz w:val="32"/>
          <w:szCs w:val="32"/>
          <w:rtl/>
        </w:rPr>
        <w:footnoteReference w:id="46"/>
      </w:r>
      <w:r>
        <w:rPr>
          <w:rFonts w:cs="Traditional Arabic" w:hint="cs"/>
          <w:sz w:val="32"/>
          <w:szCs w:val="32"/>
          <w:rtl/>
        </w:rPr>
        <w:t xml:space="preserve"> </w:t>
      </w:r>
      <w:r w:rsidR="008E4D6C">
        <w:rPr>
          <w:rFonts w:cs="Traditional Arabic" w:hint="cs"/>
          <w:sz w:val="32"/>
          <w:szCs w:val="32"/>
          <w:rtl/>
        </w:rPr>
        <w:t>فهو في هذه الحالة في محل التهمة ، فلو أراد أن ينكر فإنكاره لابد أن يكون مدعما بالبينة. ولوحظ أيضا هذا المعنى في</w:t>
      </w:r>
      <w:r w:rsidR="008D13DE">
        <w:rPr>
          <w:rFonts w:cs="Traditional Arabic" w:hint="cs"/>
          <w:sz w:val="32"/>
          <w:szCs w:val="32"/>
          <w:rtl/>
        </w:rPr>
        <w:t>ما روي عن</w:t>
      </w:r>
      <w:r w:rsidR="008E4D6C">
        <w:rPr>
          <w:rFonts w:cs="Traditional Arabic" w:hint="cs"/>
          <w:sz w:val="32"/>
          <w:szCs w:val="32"/>
          <w:rtl/>
        </w:rPr>
        <w:t xml:space="preserve"> الشافعي والبهوتي</w:t>
      </w:r>
      <w:r w:rsidR="008D13DE">
        <w:rPr>
          <w:rFonts w:cs="Traditional Arabic" w:hint="cs"/>
          <w:sz w:val="32"/>
          <w:szCs w:val="32"/>
          <w:rtl/>
        </w:rPr>
        <w:t xml:space="preserve"> الذي</w:t>
      </w:r>
      <w:r w:rsidR="008E4D6C">
        <w:rPr>
          <w:rFonts w:cs="Traditional Arabic" w:hint="cs"/>
          <w:sz w:val="32"/>
          <w:szCs w:val="32"/>
          <w:rtl/>
        </w:rPr>
        <w:t xml:space="preserve"> سبق ذكره في هذه الورقة.</w:t>
      </w:r>
      <w:r w:rsidR="008E4D6C">
        <w:rPr>
          <w:rStyle w:val="a4"/>
          <w:rFonts w:cs="Traditional Arabic"/>
          <w:sz w:val="32"/>
          <w:szCs w:val="32"/>
          <w:rtl/>
        </w:rPr>
        <w:footnoteReference w:id="47"/>
      </w:r>
    </w:p>
    <w:p w:rsidR="00193AC8" w:rsidRDefault="00193AC8" w:rsidP="00937745">
      <w:pPr>
        <w:bidi/>
        <w:rPr>
          <w:rFonts w:cs="Traditional Arabic" w:hint="cs"/>
          <w:sz w:val="32"/>
          <w:szCs w:val="32"/>
          <w:rtl/>
        </w:rPr>
      </w:pPr>
      <w:r>
        <w:rPr>
          <w:rFonts w:cs="Traditional Arabic" w:hint="cs"/>
          <w:sz w:val="32"/>
          <w:szCs w:val="32"/>
          <w:rtl/>
        </w:rPr>
        <w:lastRenderedPageBreak/>
        <w:t>وعودا إلى موضوعنا ، فتهمة التقصير والتعدي موجودة لدى بعض المنشآت الصغيرة والمتوسطة</w:t>
      </w:r>
      <w:r w:rsidR="00AF529F">
        <w:rPr>
          <w:rFonts w:cs="Traditional Arabic" w:hint="cs"/>
          <w:sz w:val="32"/>
          <w:szCs w:val="32"/>
          <w:rtl/>
        </w:rPr>
        <w:t xml:space="preserve"> كما بينَّا،</w:t>
      </w:r>
      <w:r>
        <w:rPr>
          <w:rFonts w:cs="Traditional Arabic" w:hint="cs"/>
          <w:sz w:val="32"/>
          <w:szCs w:val="32"/>
          <w:rtl/>
        </w:rPr>
        <w:t xml:space="preserve"> وعلى هذا الأساس قلنا بأن البينة عليها ل</w:t>
      </w:r>
      <w:r w:rsidR="00937745">
        <w:rPr>
          <w:rFonts w:cs="Traditional Arabic" w:hint="cs"/>
          <w:sz w:val="32"/>
          <w:szCs w:val="32"/>
          <w:rtl/>
        </w:rPr>
        <w:t>إزالة</w:t>
      </w:r>
      <w:r>
        <w:rPr>
          <w:rFonts w:cs="Traditional Arabic" w:hint="cs"/>
          <w:sz w:val="32"/>
          <w:szCs w:val="32"/>
          <w:rtl/>
        </w:rPr>
        <w:t xml:space="preserve"> هذه التهمة . أما الشركات الكبيرة المعروفة بحسن معاملتها وقوتها المالية ، فالحكم الأصلي وهو أن الكلام كلام المضارب مطبّق عليها.</w:t>
      </w:r>
    </w:p>
    <w:p w:rsidR="006B6DDF" w:rsidRDefault="00AF529F" w:rsidP="00E57D44">
      <w:pPr>
        <w:bidi/>
        <w:rPr>
          <w:rFonts w:cs="Traditional Arabic" w:hint="cs"/>
          <w:sz w:val="32"/>
          <w:szCs w:val="32"/>
          <w:rtl/>
        </w:rPr>
      </w:pPr>
      <w:r>
        <w:rPr>
          <w:rFonts w:cs="Traditional Arabic" w:hint="cs"/>
          <w:sz w:val="32"/>
          <w:szCs w:val="32"/>
          <w:rtl/>
        </w:rPr>
        <w:t>وأما بالنسبة للعملاء الآخرين ، ا</w:t>
      </w:r>
      <w:r w:rsidR="006B6DDF">
        <w:rPr>
          <w:rFonts w:cs="Traditional Arabic" w:hint="cs"/>
          <w:sz w:val="32"/>
          <w:szCs w:val="32"/>
          <w:rtl/>
        </w:rPr>
        <w:t>قترح الباحث أن تتم دراسة أوضاع</w:t>
      </w:r>
      <w:r>
        <w:rPr>
          <w:rFonts w:cs="Traditional Arabic" w:hint="cs"/>
          <w:sz w:val="32"/>
          <w:szCs w:val="32"/>
          <w:rtl/>
        </w:rPr>
        <w:t>هم</w:t>
      </w:r>
      <w:r w:rsidR="006B6DDF">
        <w:rPr>
          <w:rFonts w:cs="Traditional Arabic" w:hint="cs"/>
          <w:sz w:val="32"/>
          <w:szCs w:val="32"/>
          <w:rtl/>
        </w:rPr>
        <w:t xml:space="preserve"> وتصنيفهم بما هو المناسب ، مثلا على حسب أعمارهم ووظائفهم </w:t>
      </w:r>
      <w:r>
        <w:rPr>
          <w:rFonts w:cs="Traditional Arabic" w:hint="cs"/>
          <w:sz w:val="32"/>
          <w:szCs w:val="32"/>
          <w:rtl/>
        </w:rPr>
        <w:t xml:space="preserve">لمعرفة طبيعتهم </w:t>
      </w:r>
      <w:r w:rsidR="00E57D44">
        <w:rPr>
          <w:rFonts w:cs="Traditional Arabic" w:hint="cs"/>
          <w:sz w:val="32"/>
          <w:szCs w:val="32"/>
          <w:rtl/>
        </w:rPr>
        <w:t xml:space="preserve">، فالصنف الذي ثبتت عليهم تهمة التقصير والتعدي ، يطبق عليهم الحل المقترح وهو أن يكون المضارب ضامنا إلا إذا يستطيع أن يأتي ببينة تزيل تلك التهمة. </w:t>
      </w:r>
      <w:r w:rsidR="00937745">
        <w:rPr>
          <w:rFonts w:cs="Traditional Arabic" w:hint="cs"/>
          <w:sz w:val="32"/>
          <w:szCs w:val="32"/>
          <w:rtl/>
        </w:rPr>
        <w:t>وأما الآخرون الذين لم يتهموا بالتقصير والتعدي ، فلا يطبق عليهم هذا الحل بل تجري المضاربة على حكمها الأصلي كما يراه جمهور الفقهاء.</w:t>
      </w:r>
    </w:p>
    <w:p w:rsidR="00937745" w:rsidRDefault="00937745" w:rsidP="00937745">
      <w:pPr>
        <w:bidi/>
        <w:rPr>
          <w:rFonts w:cs="Traditional Arabic" w:hint="cs"/>
          <w:sz w:val="32"/>
          <w:szCs w:val="32"/>
          <w:rtl/>
        </w:rPr>
      </w:pPr>
      <w:r>
        <w:rPr>
          <w:rFonts w:cs="Traditional Arabic" w:hint="cs"/>
          <w:b/>
          <w:bCs/>
          <w:sz w:val="32"/>
          <w:szCs w:val="32"/>
          <w:rtl/>
        </w:rPr>
        <w:t>الخاتمة</w:t>
      </w:r>
    </w:p>
    <w:p w:rsidR="00937745" w:rsidRPr="00937745" w:rsidRDefault="00937745" w:rsidP="00937745">
      <w:pPr>
        <w:bidi/>
        <w:rPr>
          <w:rFonts w:cs="Traditional Arabic" w:hint="cs"/>
          <w:sz w:val="32"/>
          <w:szCs w:val="32"/>
          <w:rtl/>
        </w:rPr>
      </w:pPr>
      <w:r>
        <w:rPr>
          <w:rFonts w:cs="Traditional Arabic" w:hint="cs"/>
          <w:sz w:val="32"/>
          <w:szCs w:val="32"/>
          <w:rtl/>
        </w:rPr>
        <w:t xml:space="preserve">الحل المقترح هو الحل المتوسط بين عدم ضمان المضارب وضمانه. </w:t>
      </w:r>
      <w:r w:rsidR="001A430B">
        <w:rPr>
          <w:rFonts w:cs="Traditional Arabic" w:hint="cs"/>
          <w:sz w:val="32"/>
          <w:szCs w:val="32"/>
          <w:rtl/>
        </w:rPr>
        <w:t>لعله يعطي الثقة الأكبر للمؤسسات المالية الإسلامية في تمويل عملائها من خلال عقد المضاربة ، وفي نفس الوقت سيشعر العملاء بالمسؤولية فيأخذ الخطوات اللازمة لابتعاد عن التقصير والتعدي. ولدعم هذا الحل ، يقترح الباحث أن تكون هناك دراسة في مدى جواز أخذ الرهن من المضارب.</w:t>
      </w:r>
    </w:p>
    <w:p w:rsidR="00646999" w:rsidRPr="00703481" w:rsidRDefault="001A430B" w:rsidP="00646999">
      <w:pPr>
        <w:bidi/>
        <w:rPr>
          <w:rFonts w:ascii="Traditional Arabic" w:hAnsi="Traditional Arabic" w:cs="Traditional Arabic"/>
          <w:sz w:val="32"/>
          <w:szCs w:val="32"/>
          <w:lang w:val="en-US"/>
        </w:rPr>
      </w:pPr>
      <w:r>
        <w:rPr>
          <w:rFonts w:ascii="Traditional Arabic" w:hAnsi="Traditional Arabic" w:cs="Traditional Arabic" w:hint="cs"/>
          <w:sz w:val="32"/>
          <w:szCs w:val="32"/>
          <w:rtl/>
          <w:lang w:val="en-US"/>
        </w:rPr>
        <w:t>والله ولي التوفيق...</w:t>
      </w:r>
    </w:p>
    <w:p w:rsidR="004D6A4F" w:rsidRPr="001A430B" w:rsidRDefault="001A430B" w:rsidP="00646999">
      <w:pPr>
        <w:bidi/>
        <w:rPr>
          <w:rFonts w:ascii="Traditional Arabic" w:hAnsi="Traditional Arabic" w:cs="Traditional Arabic"/>
          <w:sz w:val="32"/>
          <w:szCs w:val="32"/>
          <w:lang w:val="en-US"/>
        </w:rPr>
      </w:pPr>
      <w:r w:rsidRPr="001A430B">
        <w:rPr>
          <w:rFonts w:ascii="Traditional Arabic" w:hAnsi="Traditional Arabic" w:cs="Traditional Arabic" w:hint="cs"/>
          <w:sz w:val="32"/>
          <w:szCs w:val="32"/>
          <w:rtl/>
          <w:lang w:val="en-US"/>
        </w:rPr>
        <w:t>وآخر دعوانا أن الحمد لله رب العالمين</w:t>
      </w:r>
      <w:r>
        <w:rPr>
          <w:rFonts w:ascii="Traditional Arabic" w:hAnsi="Traditional Arabic" w:cs="Traditional Arabic" w:hint="cs"/>
          <w:sz w:val="32"/>
          <w:szCs w:val="32"/>
          <w:rtl/>
          <w:lang w:val="en-US"/>
        </w:rPr>
        <w:t>.</w:t>
      </w:r>
    </w:p>
    <w:sectPr w:rsidR="004D6A4F" w:rsidRPr="001A430B" w:rsidSect="00077805">
      <w:footerReference w:type="defaul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50B" w:rsidRDefault="0000050B" w:rsidP="00646999">
      <w:pPr>
        <w:spacing w:after="0" w:line="240" w:lineRule="auto"/>
      </w:pPr>
      <w:r>
        <w:separator/>
      </w:r>
    </w:p>
  </w:endnote>
  <w:endnote w:type="continuationSeparator" w:id="1">
    <w:p w:rsidR="0000050B" w:rsidRDefault="0000050B" w:rsidP="006469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10000000000000000"/>
    <w:charset w:val="00"/>
    <w:family w:val="auto"/>
    <w:pitch w:val="variable"/>
    <w:sig w:usb0="00002003" w:usb1="80000000" w:usb2="00000008" w:usb3="00000000" w:csb0="0000004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997" w:rsidRDefault="001B6997">
    <w:pPr>
      <w:pStyle w:val="aa"/>
      <w:jc w:val="center"/>
    </w:pPr>
    <w:fldSimple w:instr=" PAGE   \* MERGEFORMAT ">
      <w:r w:rsidR="00966799">
        <w:rPr>
          <w:noProof/>
        </w:rPr>
        <w:t>1</w:t>
      </w:r>
    </w:fldSimple>
  </w:p>
  <w:p w:rsidR="001B6997" w:rsidRDefault="001B699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50B" w:rsidRDefault="0000050B" w:rsidP="008B0F19">
      <w:pPr>
        <w:bidi/>
        <w:spacing w:after="0" w:line="240" w:lineRule="auto"/>
      </w:pPr>
      <w:r>
        <w:separator/>
      </w:r>
    </w:p>
  </w:footnote>
  <w:footnote w:type="continuationSeparator" w:id="1">
    <w:p w:rsidR="0000050B" w:rsidRDefault="0000050B" w:rsidP="00646999">
      <w:pPr>
        <w:spacing w:after="0" w:line="240" w:lineRule="auto"/>
      </w:pPr>
      <w:r>
        <w:continuationSeparator/>
      </w:r>
    </w:p>
  </w:footnote>
  <w:footnote w:type="continuationNotice" w:id="2">
    <w:p w:rsidR="0000050B" w:rsidRDefault="0000050B">
      <w:pPr>
        <w:spacing w:after="0" w:line="240" w:lineRule="auto"/>
      </w:pPr>
    </w:p>
  </w:footnote>
  <w:footnote w:id="3">
    <w:p w:rsidR="00646999" w:rsidRPr="00401391" w:rsidRDefault="00646999" w:rsidP="00646999">
      <w:pPr>
        <w:pStyle w:val="a3"/>
        <w:bidi/>
        <w:rPr>
          <w:rFonts w:ascii="Traditional Arabic" w:hAnsi="Traditional Arabic" w:cs="Traditional Arabic"/>
          <w:rtl/>
          <w:lang w:val="en-US"/>
        </w:rPr>
      </w:pPr>
      <w:r w:rsidRPr="00401391">
        <w:rPr>
          <w:rStyle w:val="a4"/>
          <w:rFonts w:ascii="Traditional Arabic" w:hAnsi="Traditional Arabic" w:cs="Traditional Arabic"/>
        </w:rPr>
        <w:footnoteRef/>
      </w:r>
      <w:r w:rsidRPr="00401391">
        <w:rPr>
          <w:rFonts w:ascii="Traditional Arabic" w:hAnsi="Traditional Arabic" w:cs="Traditional Arabic"/>
          <w:sz w:val="24"/>
          <w:szCs w:val="24"/>
          <w:rtl/>
        </w:rPr>
        <w:t>الخبير في الأكاديمية العالمية للبحوث الشرعية</w:t>
      </w:r>
      <w:r w:rsidRPr="00401391">
        <w:rPr>
          <w:rFonts w:ascii="Traditional Arabic" w:hAnsi="Traditional Arabic" w:cs="Traditional Arabic"/>
          <w:sz w:val="24"/>
          <w:szCs w:val="24"/>
        </w:rPr>
        <w:t>(ISRA)</w:t>
      </w:r>
      <w:r w:rsidRPr="00401391">
        <w:rPr>
          <w:rFonts w:ascii="Traditional Arabic" w:hAnsi="Traditional Arabic" w:cs="Traditional Arabic"/>
          <w:sz w:val="24"/>
          <w:szCs w:val="24"/>
          <w:rtl/>
        </w:rPr>
        <w:t xml:space="preserve"> ، ماليزيا و</w:t>
      </w:r>
      <w:r w:rsidR="00B17981">
        <w:rPr>
          <w:rFonts w:ascii="Traditional Arabic" w:hAnsi="Traditional Arabic" w:cs="Traditional Arabic" w:hint="cs"/>
          <w:sz w:val="24"/>
          <w:szCs w:val="24"/>
          <w:rtl/>
        </w:rPr>
        <w:t>ال</w:t>
      </w:r>
      <w:r w:rsidRPr="00401391">
        <w:rPr>
          <w:rFonts w:ascii="Traditional Arabic" w:hAnsi="Traditional Arabic" w:cs="Traditional Arabic"/>
          <w:sz w:val="24"/>
          <w:szCs w:val="24"/>
          <w:rtl/>
        </w:rPr>
        <w:t>أستاذ في المركز (الجامعة)</w:t>
      </w:r>
      <w:r w:rsidR="00827760">
        <w:rPr>
          <w:rFonts w:ascii="Traditional Arabic" w:hAnsi="Traditional Arabic" w:cs="Traditional Arabic"/>
          <w:sz w:val="24"/>
          <w:szCs w:val="24"/>
        </w:rPr>
        <w:t xml:space="preserve"> </w:t>
      </w:r>
      <w:r w:rsidRPr="00401391">
        <w:rPr>
          <w:rFonts w:ascii="Traditional Arabic" w:hAnsi="Traditional Arabic" w:cs="Traditional Arabic"/>
          <w:sz w:val="24"/>
          <w:szCs w:val="24"/>
          <w:rtl/>
          <w:lang w:val="en-GB"/>
        </w:rPr>
        <w:t xml:space="preserve">التعليمي </w:t>
      </w:r>
      <w:r w:rsidRPr="00401391">
        <w:rPr>
          <w:rFonts w:ascii="Traditional Arabic" w:hAnsi="Traditional Arabic" w:cs="Traditional Arabic"/>
          <w:sz w:val="24"/>
          <w:szCs w:val="24"/>
          <w:rtl/>
        </w:rPr>
        <w:t xml:space="preserve">العالمي في التمويل الإسلامي </w:t>
      </w:r>
      <w:r w:rsidRPr="00401391">
        <w:rPr>
          <w:rFonts w:ascii="Traditional Arabic" w:hAnsi="Traditional Arabic" w:cs="Traditional Arabic"/>
          <w:sz w:val="24"/>
          <w:szCs w:val="24"/>
          <w:lang w:val="en-US"/>
        </w:rPr>
        <w:t>(INCEIF)</w:t>
      </w:r>
      <w:r w:rsidRPr="00401391">
        <w:rPr>
          <w:rFonts w:ascii="Traditional Arabic" w:hAnsi="Traditional Arabic" w:cs="Traditional Arabic"/>
          <w:sz w:val="24"/>
          <w:szCs w:val="24"/>
          <w:rtl/>
          <w:lang w:val="en-US"/>
        </w:rPr>
        <w:t>.</w:t>
      </w:r>
    </w:p>
  </w:footnote>
  <w:footnote w:id="4">
    <w:p w:rsidR="00646999" w:rsidRPr="00401391" w:rsidRDefault="00646999" w:rsidP="00646999">
      <w:pPr>
        <w:pStyle w:val="a3"/>
        <w:bidi/>
        <w:rPr>
          <w:rFonts w:ascii="Traditional Arabic" w:hAnsi="Traditional Arabic" w:cs="Traditional Arabic"/>
        </w:rPr>
      </w:pPr>
      <w:r w:rsidRPr="00401391">
        <w:rPr>
          <w:rStyle w:val="a4"/>
          <w:rFonts w:ascii="Traditional Arabic" w:hAnsi="Traditional Arabic" w:cs="Traditional Arabic"/>
        </w:rPr>
        <w:footnoteRef/>
      </w:r>
      <w:r w:rsidRPr="00401391">
        <w:rPr>
          <w:rFonts w:ascii="Traditional Arabic" w:hAnsi="Traditional Arabic" w:cs="Traditional Arabic"/>
          <w:sz w:val="24"/>
          <w:szCs w:val="24"/>
          <w:rtl/>
        </w:rPr>
        <w:t xml:space="preserve">الباحث في الأكاديمية العالمية للبحوث الشرعية </w:t>
      </w:r>
      <w:r w:rsidRPr="00401391">
        <w:rPr>
          <w:rFonts w:ascii="Traditional Arabic" w:hAnsi="Traditional Arabic" w:cs="Traditional Arabic"/>
          <w:sz w:val="24"/>
          <w:szCs w:val="24"/>
        </w:rPr>
        <w:t>(ISRA)</w:t>
      </w:r>
      <w:r w:rsidRPr="00401391">
        <w:rPr>
          <w:rFonts w:ascii="Traditional Arabic" w:hAnsi="Traditional Arabic" w:cs="Traditional Arabic"/>
          <w:sz w:val="24"/>
          <w:szCs w:val="24"/>
          <w:rtl/>
        </w:rPr>
        <w:t xml:space="preserve"> ، ماليزيا.</w:t>
      </w:r>
    </w:p>
  </w:footnote>
  <w:footnote w:id="5">
    <w:p w:rsidR="00646999" w:rsidRPr="00401391" w:rsidRDefault="00646999" w:rsidP="00646999">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sz w:val="24"/>
          <w:szCs w:val="24"/>
          <w:rtl/>
        </w:rPr>
        <w:t>مع مراعاة الخلاف الفقهي في الموضوع.</w:t>
      </w:r>
    </w:p>
  </w:footnote>
  <w:footnote w:id="6">
    <w:p w:rsidR="00646999" w:rsidRPr="00401391" w:rsidRDefault="00646999" w:rsidP="00646999">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sz w:val="24"/>
          <w:szCs w:val="24"/>
          <w:rtl/>
        </w:rPr>
        <w:t xml:space="preserve">ابن تيمية، </w:t>
      </w:r>
      <w:r w:rsidRPr="00401391">
        <w:rPr>
          <w:rFonts w:ascii="Traditional Arabic" w:hAnsi="Traditional Arabic" w:cs="Traditional Arabic"/>
          <w:b/>
          <w:bCs/>
          <w:sz w:val="24"/>
          <w:szCs w:val="24"/>
          <w:rtl/>
        </w:rPr>
        <w:t>مجموع الفتاوى</w:t>
      </w:r>
      <w:r w:rsidRPr="00401391">
        <w:rPr>
          <w:rFonts w:ascii="Traditional Arabic" w:hAnsi="Traditional Arabic" w:cs="Traditional Arabic"/>
          <w:sz w:val="24"/>
          <w:szCs w:val="24"/>
          <w:rtl/>
        </w:rPr>
        <w:t>، 29/27</w:t>
      </w:r>
      <w:r w:rsidR="000F53C5">
        <w:rPr>
          <w:rFonts w:ascii="Traditional Arabic" w:hAnsi="Traditional Arabic" w:cs="Traditional Arabic" w:hint="cs"/>
          <w:sz w:val="24"/>
          <w:szCs w:val="24"/>
          <w:rtl/>
        </w:rPr>
        <w:t>.</w:t>
      </w:r>
    </w:p>
  </w:footnote>
  <w:footnote w:id="7">
    <w:p w:rsidR="00646999" w:rsidRPr="00401391" w:rsidRDefault="00646999" w:rsidP="00646999">
      <w:pPr>
        <w:pStyle w:val="a3"/>
        <w:bidi/>
        <w:rPr>
          <w:rFonts w:ascii="Traditional Arabic" w:hAnsi="Traditional Arabic" w:cs="Traditional Arabic"/>
          <w:sz w:val="24"/>
          <w:szCs w:val="24"/>
          <w:rtl/>
        </w:rPr>
      </w:pPr>
      <w:r w:rsidRPr="00401391">
        <w:rPr>
          <w:rStyle w:val="a4"/>
          <w:rFonts w:ascii="Traditional Arabic" w:hAnsi="Traditional Arabic" w:cs="Traditional Arabic"/>
        </w:rPr>
        <w:footnoteRef/>
      </w:r>
      <w:r w:rsidRPr="00401391">
        <w:rPr>
          <w:rFonts w:ascii="Traditional Arabic" w:hAnsi="Traditional Arabic" w:cs="Traditional Arabic"/>
          <w:sz w:val="24"/>
          <w:szCs w:val="24"/>
          <w:rtl/>
        </w:rPr>
        <w:t xml:space="preserve">من ضمن نتائج البحث للمؤلف وغيره تحت الموضوع </w:t>
      </w:r>
      <w:r w:rsidRPr="00401391">
        <w:rPr>
          <w:rFonts w:ascii="Traditional Arabic" w:hAnsi="Traditional Arabic" w:cs="Traditional Arabic"/>
          <w:b/>
          <w:bCs/>
          <w:sz w:val="24"/>
          <w:szCs w:val="24"/>
          <w:rtl/>
        </w:rPr>
        <w:t xml:space="preserve">ضوابط الحيل الشرعية في النظام المالي الإسلامي </w:t>
      </w:r>
      <w:r w:rsidRPr="00401391">
        <w:rPr>
          <w:rFonts w:ascii="Traditional Arabic" w:hAnsi="Traditional Arabic" w:cs="Traditional Arabic"/>
          <w:sz w:val="24"/>
          <w:szCs w:val="24"/>
          <w:rtl/>
        </w:rPr>
        <w:t>المقدم في مؤتمر العلماء الشرعية في جنوب شرق آسيا ، كوالا لمبور ، 11 نوفمبر 2011.</w:t>
      </w:r>
    </w:p>
  </w:footnote>
  <w:footnote w:id="8">
    <w:p w:rsidR="00646999" w:rsidRPr="00401391" w:rsidRDefault="00646999" w:rsidP="00646999">
      <w:pPr>
        <w:pStyle w:val="a3"/>
        <w:bidi/>
        <w:rPr>
          <w:rFonts w:ascii="Traditional Arabic" w:hAnsi="Traditional Arabic" w:cs="Traditional Arabic"/>
          <w:sz w:val="24"/>
          <w:szCs w:val="24"/>
          <w:rtl/>
          <w:lang w:val="en-US"/>
        </w:rPr>
      </w:pPr>
      <w:r w:rsidRPr="00401391">
        <w:rPr>
          <w:rStyle w:val="a4"/>
          <w:rFonts w:ascii="Traditional Arabic" w:hAnsi="Traditional Arabic" w:cs="Traditional Arabic"/>
        </w:rPr>
        <w:footnoteRef/>
      </w:r>
      <w:r w:rsidRPr="00401391">
        <w:rPr>
          <w:rFonts w:ascii="Traditional Arabic" w:hAnsi="Traditional Arabic" w:cs="Traditional Arabic"/>
          <w:sz w:val="24"/>
          <w:szCs w:val="24"/>
          <w:rtl/>
        </w:rPr>
        <w:t xml:space="preserve">أنظر: </w:t>
      </w:r>
      <w:r w:rsidRPr="00401391">
        <w:rPr>
          <w:rFonts w:ascii="Traditional Arabic" w:hAnsi="Traditional Arabic" w:cs="Traditional Arabic"/>
          <w:lang w:val="en-US"/>
        </w:rPr>
        <w:t xml:space="preserve">Ali Salman Saleh and Nelson OlyNdubisi, </w:t>
      </w:r>
      <w:r w:rsidRPr="00401391">
        <w:rPr>
          <w:rFonts w:ascii="Traditional Arabic" w:hAnsi="Traditional Arabic" w:cs="Traditional Arabic"/>
          <w:b/>
          <w:bCs/>
          <w:lang w:val="en-US"/>
        </w:rPr>
        <w:t>SME Development in Malaysia</w:t>
      </w:r>
      <w:r w:rsidRPr="00401391">
        <w:rPr>
          <w:rFonts w:ascii="Traditional Arabic" w:hAnsi="Traditional Arabic" w:cs="Traditional Arabic"/>
          <w:b/>
          <w:bCs/>
          <w:sz w:val="24"/>
          <w:szCs w:val="24"/>
          <w:lang w:val="en-US"/>
        </w:rPr>
        <w:t xml:space="preserve">: </w:t>
      </w:r>
      <w:r w:rsidRPr="00401391">
        <w:rPr>
          <w:rFonts w:ascii="Traditional Arabic" w:hAnsi="Traditional Arabic" w:cs="Traditional Arabic"/>
          <w:b/>
          <w:bCs/>
          <w:lang w:val="en-US"/>
        </w:rPr>
        <w:t>Domestic and Global Challenges,</w:t>
      </w:r>
      <w:r w:rsidRPr="00401391">
        <w:rPr>
          <w:rFonts w:ascii="Traditional Arabic" w:hAnsi="Traditional Arabic" w:cs="Traditional Arabic"/>
          <w:lang w:val="en-US"/>
        </w:rPr>
        <w:t xml:space="preserve"> University of Wollongong Economic Working Paper Series 2006.</w:t>
      </w:r>
    </w:p>
  </w:footnote>
  <w:footnote w:id="9">
    <w:p w:rsidR="00646999" w:rsidRPr="00401391" w:rsidRDefault="00646999" w:rsidP="00646999">
      <w:pPr>
        <w:pStyle w:val="a3"/>
        <w:bidi/>
        <w:jc w:val="right"/>
        <w:rPr>
          <w:rFonts w:ascii="Traditional Arabic" w:hAnsi="Traditional Arabic" w:cs="Traditional Arabic"/>
          <w:sz w:val="24"/>
          <w:szCs w:val="24"/>
          <w:lang w:val="en-US"/>
        </w:rPr>
      </w:pPr>
      <w:r w:rsidRPr="00401391">
        <w:rPr>
          <w:rStyle w:val="a4"/>
          <w:rFonts w:ascii="Traditional Arabic" w:hAnsi="Traditional Arabic" w:cs="Traditional Arabic"/>
        </w:rPr>
        <w:footnoteRef/>
      </w:r>
      <w:r w:rsidRPr="00401391">
        <w:rPr>
          <w:rFonts w:ascii="Traditional Arabic" w:hAnsi="Traditional Arabic" w:cs="Traditional Arabic"/>
          <w:sz w:val="24"/>
          <w:szCs w:val="24"/>
          <w:rtl/>
        </w:rPr>
        <w:t xml:space="preserve">انظر: </w:t>
      </w:r>
      <w:r w:rsidRPr="00401391">
        <w:rPr>
          <w:rFonts w:ascii="Traditional Arabic" w:hAnsi="Traditional Arabic" w:cs="Traditional Arabic"/>
        </w:rPr>
        <w:t xml:space="preserve">A report on </w:t>
      </w:r>
      <w:r w:rsidRPr="00401391">
        <w:rPr>
          <w:rFonts w:ascii="Traditional Arabic" w:hAnsi="Traditional Arabic" w:cs="Traditional Arabic"/>
          <w:b/>
          <w:bCs/>
          <w:lang w:val="en-US"/>
        </w:rPr>
        <w:t>The Impact of the Global Crisis on SME and Entrepreneurship Financing and Policy Responses</w:t>
      </w:r>
      <w:r w:rsidRPr="00401391">
        <w:rPr>
          <w:rFonts w:ascii="Traditional Arabic" w:hAnsi="Traditional Arabic" w:cs="Traditional Arabic"/>
          <w:lang w:val="en-US"/>
        </w:rPr>
        <w:t xml:space="preserve"> by Centre for Entrepreneurship, SMEs and Local Development, Organisation for Economic Cooperation and Development, pg. 19.</w:t>
      </w:r>
    </w:p>
  </w:footnote>
  <w:footnote w:id="10">
    <w:p w:rsidR="00147156" w:rsidRPr="008C10ED" w:rsidRDefault="00147156" w:rsidP="00147156">
      <w:pPr>
        <w:pStyle w:val="a3"/>
        <w:rPr>
          <w:lang w:val="en-US"/>
        </w:rPr>
      </w:pPr>
      <w:r>
        <w:rPr>
          <w:rStyle w:val="a4"/>
        </w:rPr>
        <w:footnoteRef/>
      </w:r>
      <w:r>
        <w:t xml:space="preserve"> </w:t>
      </w:r>
      <w:r>
        <w:rPr>
          <w:lang w:val="en-US"/>
        </w:rPr>
        <w:t xml:space="preserve">See: Michael Ames, </w:t>
      </w:r>
      <w:r w:rsidRPr="008C10ED">
        <w:rPr>
          <w:i/>
          <w:iCs/>
          <w:lang w:val="en-GB"/>
        </w:rPr>
        <w:t>Small Business Management</w:t>
      </w:r>
      <w:r>
        <w:rPr>
          <w:lang w:val="en-GB"/>
        </w:rPr>
        <w:t>.</w:t>
      </w:r>
    </w:p>
  </w:footnote>
  <w:footnote w:id="11">
    <w:p w:rsidR="00646999" w:rsidRPr="00401391" w:rsidRDefault="00646999" w:rsidP="00646999">
      <w:pPr>
        <w:pStyle w:val="a3"/>
        <w:bidi/>
        <w:rPr>
          <w:rFonts w:ascii="Traditional Arabic" w:hAnsi="Traditional Arabic" w:cs="Traditional Arabic"/>
          <w:lang w:val="en-US"/>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انظر: </w:t>
      </w:r>
      <w:r w:rsidR="00F25F1B">
        <w:rPr>
          <w:rFonts w:ascii="Traditional Arabic" w:hAnsi="Traditional Arabic" w:cs="Traditional Arabic" w:hint="cs"/>
          <w:rtl/>
        </w:rPr>
        <w:t xml:space="preserve">ابن قدامة، </w:t>
      </w:r>
      <w:r w:rsidRPr="00732A42">
        <w:rPr>
          <w:rFonts w:ascii="Traditional Arabic" w:hAnsi="Traditional Arabic" w:cs="Traditional Arabic"/>
          <w:b/>
          <w:bCs/>
          <w:rtl/>
        </w:rPr>
        <w:t>المغني</w:t>
      </w:r>
      <w:r w:rsidRPr="00401391">
        <w:rPr>
          <w:rFonts w:ascii="Traditional Arabic" w:hAnsi="Traditional Arabic" w:cs="Traditional Arabic"/>
          <w:rtl/>
        </w:rPr>
        <w:t xml:space="preserve"> 5/55.</w:t>
      </w:r>
    </w:p>
  </w:footnote>
  <w:footnote w:id="12">
    <w:p w:rsidR="00646999" w:rsidRPr="00401391" w:rsidRDefault="00646999" w:rsidP="00646999">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انظر: </w:t>
      </w:r>
      <w:r w:rsidR="00F25F1B">
        <w:rPr>
          <w:rFonts w:ascii="Traditional Arabic" w:hAnsi="Traditional Arabic" w:cs="Traditional Arabic" w:hint="cs"/>
          <w:rtl/>
        </w:rPr>
        <w:t xml:space="preserve">الباجي، </w:t>
      </w:r>
      <w:r w:rsidRPr="00732A42">
        <w:rPr>
          <w:rFonts w:ascii="Traditional Arabic" w:hAnsi="Traditional Arabic" w:cs="Traditional Arabic"/>
          <w:b/>
          <w:bCs/>
          <w:rtl/>
        </w:rPr>
        <w:t>المنتقى</w:t>
      </w:r>
      <w:r w:rsidRPr="00401391">
        <w:rPr>
          <w:rFonts w:ascii="Traditional Arabic" w:hAnsi="Traditional Arabic" w:cs="Traditional Arabic"/>
          <w:rtl/>
        </w:rPr>
        <w:t xml:space="preserve"> </w:t>
      </w:r>
      <w:r w:rsidRPr="00732A42">
        <w:rPr>
          <w:rFonts w:ascii="Traditional Arabic" w:hAnsi="Traditional Arabic" w:cs="Traditional Arabic"/>
          <w:b/>
          <w:bCs/>
          <w:rtl/>
        </w:rPr>
        <w:t>شرح الموطأ</w:t>
      </w:r>
      <w:r w:rsidR="004D6BAE">
        <w:rPr>
          <w:rFonts w:ascii="Traditional Arabic" w:hAnsi="Traditional Arabic" w:cs="Traditional Arabic" w:hint="cs"/>
          <w:b/>
          <w:bCs/>
          <w:rtl/>
        </w:rPr>
        <w:t xml:space="preserve"> ،</w:t>
      </w:r>
      <w:r w:rsidRPr="00401391">
        <w:rPr>
          <w:rFonts w:ascii="Traditional Arabic" w:hAnsi="Traditional Arabic" w:cs="Traditional Arabic"/>
          <w:rtl/>
        </w:rPr>
        <w:t xml:space="preserve"> 5/153.</w:t>
      </w:r>
    </w:p>
  </w:footnote>
  <w:footnote w:id="13">
    <w:p w:rsidR="00646999" w:rsidRPr="00401391" w:rsidRDefault="00646999" w:rsidP="00646999">
      <w:pPr>
        <w:pStyle w:val="a3"/>
        <w:bidi/>
        <w:rPr>
          <w:rFonts w:ascii="Traditional Arabic" w:hAnsi="Traditional Arabic" w:cs="Traditional Arabic"/>
          <w:rtl/>
          <w:lang w:val="en-US"/>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Pr="00401391">
        <w:rPr>
          <w:rFonts w:ascii="Traditional Arabic" w:hAnsi="Traditional Arabic" w:cs="Traditional Arabic"/>
          <w:rtl/>
          <w:lang w:val="en-US"/>
        </w:rPr>
        <w:t xml:space="preserve">انظر: </w:t>
      </w:r>
      <w:r w:rsidR="00F25F1B">
        <w:rPr>
          <w:rFonts w:ascii="Traditional Arabic" w:hAnsi="Traditional Arabic" w:cs="Traditional Arabic" w:hint="cs"/>
          <w:rtl/>
          <w:lang w:val="en-US"/>
        </w:rPr>
        <w:t>ابن نجيم،</w:t>
      </w:r>
      <w:r w:rsidR="00F25F1B" w:rsidRPr="00732A42">
        <w:rPr>
          <w:rFonts w:ascii="Traditional Arabic" w:hAnsi="Traditional Arabic" w:cs="Traditional Arabic" w:hint="cs"/>
          <w:b/>
          <w:bCs/>
          <w:rtl/>
          <w:lang w:val="en-US"/>
        </w:rPr>
        <w:t xml:space="preserve"> </w:t>
      </w:r>
      <w:r w:rsidRPr="00732A42">
        <w:rPr>
          <w:rFonts w:ascii="Traditional Arabic" w:hAnsi="Traditional Arabic" w:cs="Traditional Arabic"/>
          <w:b/>
          <w:bCs/>
          <w:rtl/>
          <w:lang w:val="en-US"/>
        </w:rPr>
        <w:t>البحر الرائق</w:t>
      </w:r>
      <w:r w:rsidR="004D6BAE">
        <w:rPr>
          <w:rFonts w:ascii="Traditional Arabic" w:hAnsi="Traditional Arabic" w:cs="Traditional Arabic" w:hint="cs"/>
          <w:b/>
          <w:bCs/>
          <w:rtl/>
          <w:lang w:val="en-US"/>
        </w:rPr>
        <w:t xml:space="preserve"> ،</w:t>
      </w:r>
      <w:r w:rsidRPr="00401391">
        <w:rPr>
          <w:rFonts w:ascii="Traditional Arabic" w:hAnsi="Traditional Arabic" w:cs="Traditional Arabic"/>
          <w:rtl/>
          <w:lang w:val="en-US"/>
        </w:rPr>
        <w:t xml:space="preserve"> 7/274. </w:t>
      </w:r>
    </w:p>
  </w:footnote>
  <w:footnote w:id="14">
    <w:p w:rsidR="00646999" w:rsidRPr="00401391" w:rsidRDefault="00646999" w:rsidP="00646999">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انظر: </w:t>
      </w:r>
      <w:r w:rsidR="006A7427">
        <w:rPr>
          <w:rFonts w:ascii="Traditional Arabic" w:hAnsi="Traditional Arabic" w:cs="Traditional Arabic" w:hint="cs"/>
          <w:rtl/>
        </w:rPr>
        <w:t xml:space="preserve">ابن رشد الحفيد، </w:t>
      </w:r>
      <w:r w:rsidRPr="00732A42">
        <w:rPr>
          <w:rFonts w:ascii="Traditional Arabic" w:hAnsi="Traditional Arabic" w:cs="Traditional Arabic"/>
          <w:b/>
          <w:bCs/>
          <w:rtl/>
          <w:lang w:val="en-US"/>
        </w:rPr>
        <w:t>بداية المجتهد</w:t>
      </w:r>
      <w:r w:rsidR="004D6BAE">
        <w:rPr>
          <w:rFonts w:ascii="Traditional Arabic" w:hAnsi="Traditional Arabic" w:cs="Traditional Arabic" w:hint="cs"/>
          <w:b/>
          <w:bCs/>
          <w:rtl/>
          <w:lang w:val="en-US"/>
        </w:rPr>
        <w:t xml:space="preserve"> ،</w:t>
      </w:r>
      <w:r w:rsidRPr="00401391">
        <w:rPr>
          <w:rFonts w:ascii="Traditional Arabic" w:hAnsi="Traditional Arabic" w:cs="Traditional Arabic"/>
          <w:rtl/>
          <w:lang w:val="en-US"/>
        </w:rPr>
        <w:t xml:space="preserve"> 4/22، و</w:t>
      </w:r>
      <w:r w:rsidR="006A7427">
        <w:rPr>
          <w:rFonts w:ascii="Traditional Arabic" w:hAnsi="Traditional Arabic" w:cs="Traditional Arabic" w:hint="cs"/>
          <w:rtl/>
          <w:lang w:val="en-US"/>
        </w:rPr>
        <w:t xml:space="preserve">ابن جزي، </w:t>
      </w:r>
      <w:r w:rsidRPr="00732A42">
        <w:rPr>
          <w:rFonts w:ascii="Traditional Arabic" w:hAnsi="Traditional Arabic" w:cs="Traditional Arabic"/>
          <w:b/>
          <w:bCs/>
          <w:rtl/>
          <w:lang w:val="en-US"/>
        </w:rPr>
        <w:t>القوانين الفقهية</w:t>
      </w:r>
      <w:r w:rsidR="004D6BAE">
        <w:rPr>
          <w:rFonts w:ascii="Traditional Arabic" w:hAnsi="Traditional Arabic" w:cs="Traditional Arabic" w:hint="cs"/>
          <w:b/>
          <w:bCs/>
          <w:rtl/>
          <w:lang w:val="en-US"/>
        </w:rPr>
        <w:t xml:space="preserve"> ،</w:t>
      </w:r>
      <w:r w:rsidRPr="00401391">
        <w:rPr>
          <w:rFonts w:ascii="Traditional Arabic" w:hAnsi="Traditional Arabic" w:cs="Traditional Arabic"/>
          <w:rtl/>
          <w:lang w:val="en-US"/>
        </w:rPr>
        <w:t xml:space="preserve"> ص: 186.</w:t>
      </w:r>
    </w:p>
  </w:footnote>
  <w:footnote w:id="15">
    <w:p w:rsidR="00646999" w:rsidRPr="00401391" w:rsidRDefault="00646999" w:rsidP="00646999">
      <w:pPr>
        <w:pStyle w:val="a3"/>
        <w:bidi/>
        <w:rPr>
          <w:rFonts w:ascii="Traditional Arabic" w:hAnsi="Traditional Arabic" w:cs="Traditional Arabic"/>
          <w:rtl/>
          <w:lang w:val="en-US"/>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انظر: </w:t>
      </w:r>
      <w:r w:rsidR="006A7427">
        <w:rPr>
          <w:rFonts w:ascii="Traditional Arabic" w:hAnsi="Traditional Arabic" w:cs="Traditional Arabic" w:hint="cs"/>
          <w:rtl/>
        </w:rPr>
        <w:t xml:space="preserve">ابن قدامة، </w:t>
      </w:r>
      <w:r w:rsidRPr="00732A42">
        <w:rPr>
          <w:rFonts w:ascii="Traditional Arabic" w:hAnsi="Traditional Arabic" w:cs="Traditional Arabic"/>
          <w:b/>
          <w:bCs/>
          <w:rtl/>
        </w:rPr>
        <w:t>المغني</w:t>
      </w:r>
      <w:r w:rsidR="004D6BAE">
        <w:rPr>
          <w:rFonts w:ascii="Traditional Arabic" w:hAnsi="Traditional Arabic" w:cs="Traditional Arabic" w:hint="cs"/>
          <w:b/>
          <w:bCs/>
          <w:rtl/>
        </w:rPr>
        <w:t xml:space="preserve"> ،</w:t>
      </w:r>
      <w:r w:rsidRPr="00401391">
        <w:rPr>
          <w:rFonts w:ascii="Traditional Arabic" w:hAnsi="Traditional Arabic" w:cs="Traditional Arabic"/>
          <w:rtl/>
        </w:rPr>
        <w:t xml:space="preserve"> 5/165، و</w:t>
      </w:r>
      <w:r w:rsidR="006A7427">
        <w:rPr>
          <w:rFonts w:ascii="Traditional Arabic" w:hAnsi="Traditional Arabic" w:cs="Traditional Arabic" w:hint="cs"/>
          <w:rtl/>
        </w:rPr>
        <w:t xml:space="preserve">ابن مفلح، </w:t>
      </w:r>
      <w:r w:rsidRPr="00732A42">
        <w:rPr>
          <w:rFonts w:ascii="Traditional Arabic" w:hAnsi="Traditional Arabic" w:cs="Traditional Arabic"/>
          <w:b/>
          <w:bCs/>
          <w:rtl/>
        </w:rPr>
        <w:t>المبدع</w:t>
      </w:r>
      <w:r w:rsidR="004D6BAE">
        <w:rPr>
          <w:rFonts w:ascii="Traditional Arabic" w:hAnsi="Traditional Arabic" w:cs="Traditional Arabic" w:hint="cs"/>
          <w:b/>
          <w:bCs/>
          <w:rtl/>
        </w:rPr>
        <w:t xml:space="preserve"> ،</w:t>
      </w:r>
      <w:r w:rsidRPr="00401391">
        <w:rPr>
          <w:rFonts w:ascii="Traditional Arabic" w:hAnsi="Traditional Arabic" w:cs="Traditional Arabic"/>
          <w:rtl/>
        </w:rPr>
        <w:t xml:space="preserve"> 5/10، و</w:t>
      </w:r>
      <w:r w:rsidR="006A7427">
        <w:rPr>
          <w:rFonts w:ascii="Traditional Arabic" w:hAnsi="Traditional Arabic" w:cs="Traditional Arabic" w:hint="cs"/>
          <w:rtl/>
        </w:rPr>
        <w:t xml:space="preserve">المرداوي، </w:t>
      </w:r>
      <w:r w:rsidRPr="00732A42">
        <w:rPr>
          <w:rFonts w:ascii="Traditional Arabic" w:hAnsi="Traditional Arabic" w:cs="Traditional Arabic"/>
          <w:b/>
          <w:bCs/>
          <w:rtl/>
        </w:rPr>
        <w:t>الإنصاف</w:t>
      </w:r>
      <w:r w:rsidRPr="00401391">
        <w:rPr>
          <w:rFonts w:ascii="Traditional Arabic" w:hAnsi="Traditional Arabic" w:cs="Traditional Arabic"/>
          <w:rtl/>
        </w:rPr>
        <w:t xml:space="preserve"> 6</w:t>
      </w:r>
      <w:r w:rsidR="004D6BAE">
        <w:rPr>
          <w:rFonts w:ascii="Traditional Arabic" w:hAnsi="Traditional Arabic" w:cs="Traditional Arabic" w:hint="cs"/>
          <w:rtl/>
        </w:rPr>
        <w:t xml:space="preserve">، </w:t>
      </w:r>
      <w:r w:rsidRPr="00401391">
        <w:rPr>
          <w:rFonts w:ascii="Traditional Arabic" w:hAnsi="Traditional Arabic" w:cs="Traditional Arabic"/>
          <w:rtl/>
        </w:rPr>
        <w:t>/113.</w:t>
      </w:r>
    </w:p>
  </w:footnote>
  <w:footnote w:id="16">
    <w:p w:rsidR="00646999" w:rsidRPr="00401391" w:rsidRDefault="00646999" w:rsidP="004D6BAE">
      <w:pPr>
        <w:pStyle w:val="a3"/>
        <w:bidi/>
        <w:rPr>
          <w:rFonts w:ascii="Traditional Arabic" w:hAnsi="Traditional Arabic" w:cs="Traditional Arabic"/>
          <w:rtl/>
          <w:lang w:val="en-US"/>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006A7427">
        <w:rPr>
          <w:rFonts w:ascii="Traditional Arabic" w:hAnsi="Traditional Arabic" w:cs="Traditional Arabic" w:hint="cs"/>
          <w:rtl/>
        </w:rPr>
        <w:t xml:space="preserve">الباجي، </w:t>
      </w:r>
      <w:r w:rsidRPr="00732A42">
        <w:rPr>
          <w:rFonts w:ascii="Traditional Arabic" w:hAnsi="Traditional Arabic" w:cs="Traditional Arabic"/>
          <w:b/>
          <w:bCs/>
          <w:rtl/>
        </w:rPr>
        <w:t>المنتقى</w:t>
      </w:r>
      <w:r w:rsidRPr="00401391">
        <w:rPr>
          <w:rFonts w:ascii="Traditional Arabic" w:hAnsi="Traditional Arabic" w:cs="Traditional Arabic"/>
          <w:rtl/>
        </w:rPr>
        <w:t xml:space="preserve"> </w:t>
      </w:r>
      <w:r w:rsidRPr="00732A42">
        <w:rPr>
          <w:rFonts w:ascii="Traditional Arabic" w:hAnsi="Traditional Arabic" w:cs="Traditional Arabic"/>
          <w:b/>
          <w:bCs/>
          <w:rtl/>
        </w:rPr>
        <w:t>شرح الموطأ</w:t>
      </w:r>
      <w:r w:rsidR="004D6BAE">
        <w:rPr>
          <w:rFonts w:ascii="Traditional Arabic" w:hAnsi="Traditional Arabic" w:cs="Traditional Arabic" w:hint="cs"/>
          <w:b/>
          <w:bCs/>
          <w:rtl/>
        </w:rPr>
        <w:t xml:space="preserve"> ،</w:t>
      </w:r>
      <w:r w:rsidRPr="00401391">
        <w:rPr>
          <w:rFonts w:ascii="Traditional Arabic" w:hAnsi="Traditional Arabic" w:cs="Traditional Arabic"/>
          <w:rtl/>
        </w:rPr>
        <w:t xml:space="preserve"> 5/153.</w:t>
      </w:r>
    </w:p>
  </w:footnote>
  <w:footnote w:id="17">
    <w:p w:rsidR="00646999" w:rsidRPr="00401391" w:rsidRDefault="00646999" w:rsidP="00646999">
      <w:pPr>
        <w:pStyle w:val="a3"/>
        <w:bidi/>
        <w:rPr>
          <w:rFonts w:ascii="Traditional Arabic" w:hAnsi="Traditional Arabic" w:cs="Traditional Arabic"/>
          <w:lang w:val="en-US"/>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انظر: </w:t>
      </w:r>
      <w:r w:rsidR="006A7427">
        <w:rPr>
          <w:rFonts w:ascii="Traditional Arabic" w:hAnsi="Traditional Arabic" w:cs="Traditional Arabic" w:hint="cs"/>
          <w:rtl/>
        </w:rPr>
        <w:t xml:space="preserve">الباجي، </w:t>
      </w:r>
      <w:r w:rsidRPr="00732A42">
        <w:rPr>
          <w:rFonts w:ascii="Traditional Arabic" w:hAnsi="Traditional Arabic" w:cs="Traditional Arabic"/>
          <w:b/>
          <w:bCs/>
          <w:rtl/>
        </w:rPr>
        <w:t>المنتقى شرح الموطأ</w:t>
      </w:r>
      <w:r w:rsidR="004D6BAE">
        <w:rPr>
          <w:rFonts w:ascii="Traditional Arabic" w:hAnsi="Traditional Arabic" w:cs="Traditional Arabic" w:hint="cs"/>
          <w:b/>
          <w:bCs/>
          <w:rtl/>
        </w:rPr>
        <w:t xml:space="preserve"> ،</w:t>
      </w:r>
      <w:r w:rsidRPr="00401391">
        <w:rPr>
          <w:rFonts w:ascii="Traditional Arabic" w:hAnsi="Traditional Arabic" w:cs="Traditional Arabic"/>
          <w:rtl/>
        </w:rPr>
        <w:t xml:space="preserve"> 5/164، و</w:t>
      </w:r>
      <w:r w:rsidR="006A7427">
        <w:rPr>
          <w:rFonts w:ascii="Traditional Arabic" w:hAnsi="Traditional Arabic" w:cs="Traditional Arabic" w:hint="cs"/>
          <w:rtl/>
        </w:rPr>
        <w:t xml:space="preserve">ابن قدامة، </w:t>
      </w:r>
      <w:r w:rsidRPr="00732A42">
        <w:rPr>
          <w:rFonts w:ascii="Traditional Arabic" w:hAnsi="Traditional Arabic" w:cs="Traditional Arabic"/>
          <w:b/>
          <w:bCs/>
          <w:rtl/>
        </w:rPr>
        <w:t>المغني</w:t>
      </w:r>
      <w:r w:rsidR="004D6BAE">
        <w:rPr>
          <w:rFonts w:ascii="Traditional Arabic" w:hAnsi="Traditional Arabic" w:cs="Traditional Arabic" w:hint="cs"/>
          <w:b/>
          <w:bCs/>
          <w:rtl/>
        </w:rPr>
        <w:t xml:space="preserve"> ،</w:t>
      </w:r>
      <w:r w:rsidRPr="00401391">
        <w:rPr>
          <w:rFonts w:ascii="Traditional Arabic" w:hAnsi="Traditional Arabic" w:cs="Traditional Arabic"/>
          <w:rtl/>
        </w:rPr>
        <w:t xml:space="preserve"> 5/165، و</w:t>
      </w:r>
      <w:r w:rsidR="006A7427">
        <w:rPr>
          <w:rFonts w:ascii="Traditional Arabic" w:hAnsi="Traditional Arabic" w:cs="Traditional Arabic" w:hint="cs"/>
          <w:rtl/>
        </w:rPr>
        <w:t xml:space="preserve">ابن مفلح، </w:t>
      </w:r>
      <w:r w:rsidRPr="00732A42">
        <w:rPr>
          <w:rFonts w:ascii="Traditional Arabic" w:hAnsi="Traditional Arabic" w:cs="Traditional Arabic"/>
          <w:b/>
          <w:bCs/>
          <w:rtl/>
        </w:rPr>
        <w:t>المبدع</w:t>
      </w:r>
      <w:r w:rsidR="004D6BAE">
        <w:rPr>
          <w:rFonts w:ascii="Traditional Arabic" w:hAnsi="Traditional Arabic" w:cs="Traditional Arabic" w:hint="cs"/>
          <w:b/>
          <w:bCs/>
          <w:rtl/>
        </w:rPr>
        <w:t xml:space="preserve"> ،</w:t>
      </w:r>
      <w:r w:rsidRPr="00401391">
        <w:rPr>
          <w:rFonts w:ascii="Traditional Arabic" w:hAnsi="Traditional Arabic" w:cs="Traditional Arabic"/>
          <w:rtl/>
        </w:rPr>
        <w:t xml:space="preserve"> 5/10.</w:t>
      </w:r>
    </w:p>
  </w:footnote>
  <w:footnote w:id="18">
    <w:p w:rsidR="00E01C04" w:rsidRPr="004D6BAE" w:rsidRDefault="00E01C04" w:rsidP="00E01C04">
      <w:pPr>
        <w:pStyle w:val="a3"/>
        <w:bidi/>
        <w:jc w:val="both"/>
        <w:rPr>
          <w:rFonts w:ascii="Traditional Arabic" w:hAnsi="Traditional Arabic" w:cs="Traditional Arabic"/>
          <w:rtl/>
        </w:rPr>
      </w:pPr>
      <w:r>
        <w:rPr>
          <w:rStyle w:val="a4"/>
        </w:rPr>
        <w:footnoteRef/>
      </w:r>
      <w:r>
        <w:t xml:space="preserve"> </w:t>
      </w:r>
      <w:r>
        <w:rPr>
          <w:rFonts w:ascii="Traditional Arabic" w:hAnsi="Traditional Arabic" w:cs="Traditional Arabic" w:hint="cs"/>
          <w:rtl/>
        </w:rPr>
        <w:t xml:space="preserve"> </w:t>
      </w:r>
      <w:r w:rsidR="004D6BAE">
        <w:rPr>
          <w:rFonts w:ascii="Traditional Arabic" w:hAnsi="Traditional Arabic" w:cs="Traditional Arabic" w:hint="cs"/>
          <w:rtl/>
        </w:rPr>
        <w:t xml:space="preserve">السرخسي ، </w:t>
      </w:r>
      <w:r w:rsidR="004D6BAE">
        <w:rPr>
          <w:rFonts w:ascii="Traditional Arabic" w:hAnsi="Traditional Arabic" w:cs="Traditional Arabic" w:hint="cs"/>
          <w:b/>
          <w:bCs/>
          <w:rtl/>
        </w:rPr>
        <w:t xml:space="preserve">المبسوط ، </w:t>
      </w:r>
      <w:r w:rsidR="004D6BAE">
        <w:rPr>
          <w:rFonts w:ascii="Traditional Arabic" w:hAnsi="Traditional Arabic" w:cs="Traditional Arabic" w:hint="cs"/>
          <w:rtl/>
        </w:rPr>
        <w:t>22/19</w:t>
      </w:r>
    </w:p>
  </w:footnote>
  <w:footnote w:id="19">
    <w:p w:rsidR="00646999" w:rsidRPr="00401391" w:rsidRDefault="00646999" w:rsidP="004D6BAE">
      <w:pPr>
        <w:pStyle w:val="a3"/>
        <w:bidi/>
        <w:rPr>
          <w:rFonts w:ascii="Traditional Arabic" w:hAnsi="Traditional Arabic" w:cs="Traditional Arabic"/>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006A7427">
        <w:rPr>
          <w:rFonts w:ascii="Traditional Arabic" w:hAnsi="Traditional Arabic" w:cs="Traditional Arabic" w:hint="cs"/>
          <w:rtl/>
        </w:rPr>
        <w:t xml:space="preserve">الباجي، </w:t>
      </w:r>
      <w:r w:rsidRPr="00732A42">
        <w:rPr>
          <w:rFonts w:ascii="Traditional Arabic" w:hAnsi="Traditional Arabic" w:cs="Traditional Arabic"/>
          <w:b/>
          <w:bCs/>
          <w:rtl/>
        </w:rPr>
        <w:t>المنتقى شرح الموطأ</w:t>
      </w:r>
      <w:r w:rsidR="004D6BAE">
        <w:rPr>
          <w:rFonts w:ascii="Traditional Arabic" w:hAnsi="Traditional Arabic" w:cs="Traditional Arabic" w:hint="cs"/>
          <w:b/>
          <w:bCs/>
          <w:rtl/>
        </w:rPr>
        <w:t xml:space="preserve"> ،</w:t>
      </w:r>
      <w:r w:rsidRPr="00401391">
        <w:rPr>
          <w:rFonts w:ascii="Traditional Arabic" w:hAnsi="Traditional Arabic" w:cs="Traditional Arabic"/>
          <w:rtl/>
        </w:rPr>
        <w:t xml:space="preserve"> 5/164.</w:t>
      </w:r>
    </w:p>
  </w:footnote>
  <w:footnote w:id="20">
    <w:p w:rsidR="00646999" w:rsidRPr="00401391" w:rsidRDefault="00646999" w:rsidP="004D6BAE">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006A7427">
        <w:rPr>
          <w:rFonts w:ascii="Traditional Arabic" w:hAnsi="Traditional Arabic" w:cs="Traditional Arabic" w:hint="cs"/>
          <w:rtl/>
        </w:rPr>
        <w:t xml:space="preserve">ابن قدامة، </w:t>
      </w:r>
      <w:r w:rsidRPr="00732A42">
        <w:rPr>
          <w:rFonts w:ascii="Traditional Arabic" w:hAnsi="Traditional Arabic" w:cs="Traditional Arabic"/>
          <w:b/>
          <w:bCs/>
          <w:rtl/>
        </w:rPr>
        <w:t>المغني</w:t>
      </w:r>
      <w:r w:rsidR="004D6BAE">
        <w:rPr>
          <w:rFonts w:ascii="Traditional Arabic" w:hAnsi="Traditional Arabic" w:cs="Traditional Arabic" w:hint="cs"/>
          <w:b/>
          <w:bCs/>
          <w:rtl/>
        </w:rPr>
        <w:t xml:space="preserve"> ،</w:t>
      </w:r>
      <w:r w:rsidRPr="00401391">
        <w:rPr>
          <w:rFonts w:ascii="Traditional Arabic" w:hAnsi="Traditional Arabic" w:cs="Traditional Arabic"/>
          <w:rtl/>
        </w:rPr>
        <w:t xml:space="preserve"> 5/165.</w:t>
      </w:r>
    </w:p>
  </w:footnote>
  <w:footnote w:id="21">
    <w:p w:rsidR="00646999" w:rsidRPr="00401391" w:rsidRDefault="00646999" w:rsidP="006E4AB4">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006A7427">
        <w:rPr>
          <w:rFonts w:ascii="Traditional Arabic" w:hAnsi="Traditional Arabic" w:cs="Traditional Arabic" w:hint="cs"/>
          <w:rtl/>
        </w:rPr>
        <w:t xml:space="preserve">ابن تيمية، </w:t>
      </w:r>
      <w:r w:rsidRPr="00732A42">
        <w:rPr>
          <w:rFonts w:ascii="Traditional Arabic" w:hAnsi="Traditional Arabic" w:cs="Traditional Arabic"/>
          <w:b/>
          <w:bCs/>
          <w:rtl/>
        </w:rPr>
        <w:t>القواعد النورانية</w:t>
      </w:r>
      <w:r w:rsidR="004D6BAE">
        <w:rPr>
          <w:rFonts w:ascii="Traditional Arabic" w:hAnsi="Traditional Arabic" w:cs="Traditional Arabic" w:hint="cs"/>
          <w:b/>
          <w:bCs/>
          <w:rtl/>
        </w:rPr>
        <w:t xml:space="preserve"> ،</w:t>
      </w:r>
      <w:r w:rsidRPr="00732A42">
        <w:rPr>
          <w:rFonts w:ascii="Traditional Arabic" w:hAnsi="Traditional Arabic" w:cs="Traditional Arabic"/>
          <w:b/>
          <w:bCs/>
          <w:rtl/>
        </w:rPr>
        <w:t xml:space="preserve"> </w:t>
      </w:r>
      <w:r w:rsidRPr="00401391">
        <w:rPr>
          <w:rFonts w:ascii="Traditional Arabic" w:hAnsi="Traditional Arabic" w:cs="Traditional Arabic"/>
          <w:rtl/>
        </w:rPr>
        <w:t>ص: 256.</w:t>
      </w:r>
    </w:p>
  </w:footnote>
  <w:footnote w:id="22">
    <w:p w:rsidR="00646999" w:rsidRPr="00401391" w:rsidRDefault="00646999" w:rsidP="006E4AB4">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006A7427">
        <w:rPr>
          <w:rFonts w:ascii="Traditional Arabic" w:hAnsi="Traditional Arabic" w:cs="Traditional Arabic" w:hint="cs"/>
          <w:rtl/>
        </w:rPr>
        <w:t xml:space="preserve">ابن القيم، </w:t>
      </w:r>
      <w:r w:rsidRPr="00732A42">
        <w:rPr>
          <w:rFonts w:ascii="Traditional Arabic" w:hAnsi="Traditional Arabic" w:cs="Traditional Arabic"/>
          <w:b/>
          <w:bCs/>
          <w:rtl/>
        </w:rPr>
        <w:t>زاد المعاد</w:t>
      </w:r>
      <w:r w:rsidR="004D6BAE">
        <w:rPr>
          <w:rFonts w:ascii="Traditional Arabic" w:hAnsi="Traditional Arabic" w:cs="Traditional Arabic" w:hint="cs"/>
          <w:b/>
          <w:bCs/>
          <w:rtl/>
        </w:rPr>
        <w:t xml:space="preserve"> ،</w:t>
      </w:r>
      <w:r w:rsidRPr="00732A42">
        <w:rPr>
          <w:rFonts w:ascii="Traditional Arabic" w:hAnsi="Traditional Arabic" w:cs="Traditional Arabic"/>
          <w:b/>
          <w:bCs/>
          <w:rtl/>
        </w:rPr>
        <w:t xml:space="preserve"> </w:t>
      </w:r>
      <w:r w:rsidRPr="00401391">
        <w:rPr>
          <w:rFonts w:ascii="Traditional Arabic" w:hAnsi="Traditional Arabic" w:cs="Traditional Arabic"/>
          <w:rtl/>
        </w:rPr>
        <w:t>5/182.</w:t>
      </w:r>
    </w:p>
  </w:footnote>
  <w:footnote w:id="23">
    <w:p w:rsidR="00646999" w:rsidRPr="00401391" w:rsidRDefault="00646999" w:rsidP="004D6BAE">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006A7427">
        <w:rPr>
          <w:rFonts w:ascii="Traditional Arabic" w:hAnsi="Traditional Arabic" w:cs="Traditional Arabic" w:hint="cs"/>
          <w:rtl/>
        </w:rPr>
        <w:t xml:space="preserve">ابن رشد، </w:t>
      </w:r>
      <w:r w:rsidRPr="00732A42">
        <w:rPr>
          <w:rFonts w:ascii="Traditional Arabic" w:hAnsi="Traditional Arabic" w:cs="Traditional Arabic"/>
          <w:b/>
          <w:bCs/>
          <w:rtl/>
        </w:rPr>
        <w:t>بداية المجتهد</w:t>
      </w:r>
      <w:r w:rsidR="004D6BAE">
        <w:rPr>
          <w:rFonts w:ascii="Traditional Arabic" w:hAnsi="Traditional Arabic" w:cs="Traditional Arabic" w:hint="cs"/>
          <w:b/>
          <w:bCs/>
          <w:rtl/>
        </w:rPr>
        <w:t xml:space="preserve"> ،</w:t>
      </w:r>
      <w:r w:rsidRPr="00401391">
        <w:rPr>
          <w:rFonts w:ascii="Traditional Arabic" w:hAnsi="Traditional Arabic" w:cs="Traditional Arabic"/>
          <w:rtl/>
        </w:rPr>
        <w:t xml:space="preserve"> 4/23.</w:t>
      </w:r>
    </w:p>
  </w:footnote>
  <w:footnote w:id="24">
    <w:p w:rsidR="00646999" w:rsidRPr="00401391" w:rsidRDefault="00646999" w:rsidP="006E4AB4">
      <w:pPr>
        <w:pStyle w:val="a3"/>
        <w:bidi/>
        <w:rPr>
          <w:rFonts w:ascii="Traditional Arabic" w:hAnsi="Traditional Arabic" w:cs="Traditional Arabic"/>
          <w:rtl/>
          <w:lang w:val="en-US"/>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006A7427">
        <w:rPr>
          <w:rFonts w:ascii="Traditional Arabic" w:hAnsi="Traditional Arabic" w:cs="Traditional Arabic" w:hint="cs"/>
          <w:rtl/>
        </w:rPr>
        <w:t xml:space="preserve">ابن قدامة، </w:t>
      </w:r>
      <w:r w:rsidRPr="00732A42">
        <w:rPr>
          <w:rFonts w:ascii="Traditional Arabic" w:hAnsi="Traditional Arabic" w:cs="Traditional Arabic"/>
          <w:b/>
          <w:bCs/>
          <w:rtl/>
        </w:rPr>
        <w:t>المغني</w:t>
      </w:r>
      <w:r w:rsidR="006E4AB4">
        <w:rPr>
          <w:rFonts w:ascii="Traditional Arabic" w:hAnsi="Traditional Arabic" w:cs="Traditional Arabic" w:hint="cs"/>
          <w:b/>
          <w:bCs/>
          <w:rtl/>
        </w:rPr>
        <w:t xml:space="preserve"> ،</w:t>
      </w:r>
      <w:r w:rsidRPr="00401391">
        <w:rPr>
          <w:rFonts w:ascii="Traditional Arabic" w:hAnsi="Traditional Arabic" w:cs="Traditional Arabic"/>
          <w:rtl/>
        </w:rPr>
        <w:t xml:space="preserve"> 6/437.</w:t>
      </w:r>
    </w:p>
  </w:footnote>
  <w:footnote w:id="25">
    <w:p w:rsidR="00080BF5" w:rsidRPr="00401391" w:rsidRDefault="00080BF5" w:rsidP="006E4AB4">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Pr>
          <w:rFonts w:ascii="Traditional Arabic" w:hAnsi="Traditional Arabic" w:cs="Traditional Arabic" w:hint="cs"/>
          <w:rtl/>
        </w:rPr>
        <w:t xml:space="preserve">ابن رجب، </w:t>
      </w:r>
      <w:r w:rsidRPr="004440FA">
        <w:rPr>
          <w:rFonts w:ascii="Traditional Arabic" w:hAnsi="Traditional Arabic" w:cs="Traditional Arabic"/>
          <w:b/>
          <w:bCs/>
          <w:rtl/>
        </w:rPr>
        <w:t>القواعد</w:t>
      </w:r>
      <w:r w:rsidR="006E4AB4">
        <w:rPr>
          <w:rFonts w:ascii="Traditional Arabic" w:hAnsi="Traditional Arabic" w:cs="Traditional Arabic" w:hint="cs"/>
          <w:b/>
          <w:bCs/>
          <w:rtl/>
        </w:rPr>
        <w:t xml:space="preserve"> ،</w:t>
      </w:r>
      <w:r w:rsidRPr="00401391">
        <w:rPr>
          <w:rFonts w:ascii="Traditional Arabic" w:hAnsi="Traditional Arabic" w:cs="Traditional Arabic"/>
          <w:rtl/>
        </w:rPr>
        <w:t xml:space="preserve"> ص 385.</w:t>
      </w:r>
    </w:p>
  </w:footnote>
  <w:footnote w:id="26">
    <w:p w:rsidR="00080BF5" w:rsidRPr="00401391" w:rsidRDefault="00080BF5" w:rsidP="00080BF5">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انظر:</w:t>
      </w:r>
      <w:r>
        <w:rPr>
          <w:rFonts w:ascii="Traditional Arabic" w:hAnsi="Traditional Arabic" w:cs="Traditional Arabic" w:hint="cs"/>
          <w:rtl/>
        </w:rPr>
        <w:t xml:space="preserve"> الشيرازي،</w:t>
      </w:r>
      <w:r w:rsidRPr="00401391">
        <w:rPr>
          <w:rFonts w:ascii="Traditional Arabic" w:hAnsi="Traditional Arabic" w:cs="Traditional Arabic"/>
          <w:rtl/>
        </w:rPr>
        <w:t xml:space="preserve"> </w:t>
      </w:r>
      <w:r w:rsidRPr="004440FA">
        <w:rPr>
          <w:rFonts w:ascii="Traditional Arabic" w:hAnsi="Traditional Arabic" w:cs="Traditional Arabic"/>
          <w:b/>
          <w:bCs/>
          <w:rtl/>
        </w:rPr>
        <w:t>المهذب</w:t>
      </w:r>
      <w:r w:rsidR="006E4AB4">
        <w:rPr>
          <w:rFonts w:ascii="Traditional Arabic" w:hAnsi="Traditional Arabic" w:cs="Traditional Arabic" w:hint="cs"/>
          <w:b/>
          <w:bCs/>
          <w:rtl/>
        </w:rPr>
        <w:t xml:space="preserve"> ،</w:t>
      </w:r>
      <w:r w:rsidRPr="00401391">
        <w:rPr>
          <w:rFonts w:ascii="Traditional Arabic" w:hAnsi="Traditional Arabic" w:cs="Traditional Arabic"/>
          <w:rtl/>
        </w:rPr>
        <w:t xml:space="preserve"> 2/233، وأيضا: </w:t>
      </w:r>
      <w:r>
        <w:rPr>
          <w:rFonts w:ascii="Traditional Arabic" w:hAnsi="Traditional Arabic" w:cs="Traditional Arabic" w:hint="cs"/>
          <w:rtl/>
        </w:rPr>
        <w:t xml:space="preserve">البهوتي، </w:t>
      </w:r>
      <w:r w:rsidRPr="004440FA">
        <w:rPr>
          <w:rFonts w:ascii="Traditional Arabic" w:hAnsi="Traditional Arabic" w:cs="Traditional Arabic"/>
          <w:b/>
          <w:bCs/>
          <w:rtl/>
        </w:rPr>
        <w:t>كشاف القناع</w:t>
      </w:r>
      <w:r w:rsidR="006E4AB4">
        <w:rPr>
          <w:rFonts w:ascii="Traditional Arabic" w:hAnsi="Traditional Arabic" w:cs="Traditional Arabic" w:hint="cs"/>
          <w:b/>
          <w:bCs/>
          <w:rtl/>
        </w:rPr>
        <w:t xml:space="preserve"> ،</w:t>
      </w:r>
      <w:r w:rsidRPr="00401391">
        <w:rPr>
          <w:rFonts w:ascii="Traditional Arabic" w:hAnsi="Traditional Arabic" w:cs="Traditional Arabic"/>
          <w:rtl/>
        </w:rPr>
        <w:t xml:space="preserve"> 3/523.</w:t>
      </w:r>
    </w:p>
  </w:footnote>
  <w:footnote w:id="27">
    <w:p w:rsidR="00080BF5" w:rsidRPr="00401391" w:rsidRDefault="00080BF5" w:rsidP="006E4AB4">
      <w:pPr>
        <w:pStyle w:val="a3"/>
        <w:bidi/>
        <w:rPr>
          <w:rFonts w:ascii="Traditional Arabic" w:hAnsi="Traditional Arabic" w:cs="Traditional Arabic"/>
          <w:lang w:val="en-US"/>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Pr>
          <w:rFonts w:ascii="Traditional Arabic" w:hAnsi="Traditional Arabic" w:cs="Traditional Arabic" w:hint="cs"/>
          <w:rtl/>
        </w:rPr>
        <w:t xml:space="preserve">الغزالي، </w:t>
      </w:r>
      <w:r w:rsidRPr="004440FA">
        <w:rPr>
          <w:rFonts w:ascii="Traditional Arabic" w:hAnsi="Traditional Arabic" w:cs="Traditional Arabic"/>
          <w:b/>
          <w:bCs/>
          <w:rtl/>
        </w:rPr>
        <w:t>الوسيط</w:t>
      </w:r>
      <w:r w:rsidR="006E4AB4">
        <w:rPr>
          <w:rFonts w:ascii="Traditional Arabic" w:hAnsi="Traditional Arabic" w:cs="Traditional Arabic" w:hint="cs"/>
          <w:b/>
          <w:bCs/>
          <w:rtl/>
        </w:rPr>
        <w:t xml:space="preserve"> ،</w:t>
      </w:r>
      <w:r w:rsidRPr="00401391">
        <w:rPr>
          <w:rFonts w:ascii="Traditional Arabic" w:hAnsi="Traditional Arabic" w:cs="Traditional Arabic"/>
          <w:rtl/>
        </w:rPr>
        <w:t xml:space="preserve"> 4/130.</w:t>
      </w:r>
    </w:p>
  </w:footnote>
  <w:footnote w:id="28">
    <w:p w:rsidR="00080BF5" w:rsidRPr="00401391" w:rsidRDefault="00080BF5" w:rsidP="006E4AB4">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Pr>
          <w:rFonts w:ascii="Traditional Arabic" w:hAnsi="Traditional Arabic" w:cs="Traditional Arabic" w:hint="cs"/>
          <w:rtl/>
        </w:rPr>
        <w:t>البهوتي،</w:t>
      </w:r>
      <w:r w:rsidRPr="004440FA">
        <w:rPr>
          <w:rFonts w:ascii="Traditional Arabic" w:hAnsi="Traditional Arabic" w:cs="Traditional Arabic" w:hint="cs"/>
          <w:b/>
          <w:bCs/>
          <w:rtl/>
        </w:rPr>
        <w:t xml:space="preserve"> </w:t>
      </w:r>
      <w:r w:rsidRPr="004440FA">
        <w:rPr>
          <w:rFonts w:ascii="Traditional Arabic" w:hAnsi="Traditional Arabic" w:cs="Traditional Arabic"/>
          <w:b/>
          <w:bCs/>
          <w:rtl/>
        </w:rPr>
        <w:t>كشاف القناع</w:t>
      </w:r>
      <w:r w:rsidR="006E4AB4">
        <w:rPr>
          <w:rFonts w:ascii="Traditional Arabic" w:hAnsi="Traditional Arabic" w:cs="Traditional Arabic" w:hint="cs"/>
          <w:b/>
          <w:bCs/>
          <w:rtl/>
        </w:rPr>
        <w:t xml:space="preserve"> ،</w:t>
      </w:r>
      <w:r w:rsidRPr="004440FA">
        <w:rPr>
          <w:rFonts w:ascii="Traditional Arabic" w:hAnsi="Traditional Arabic" w:cs="Traditional Arabic"/>
          <w:b/>
          <w:bCs/>
          <w:rtl/>
        </w:rPr>
        <w:t xml:space="preserve"> </w:t>
      </w:r>
      <w:r w:rsidRPr="00401391">
        <w:rPr>
          <w:rFonts w:ascii="Traditional Arabic" w:hAnsi="Traditional Arabic" w:cs="Traditional Arabic"/>
          <w:rtl/>
        </w:rPr>
        <w:t>3/523.</w:t>
      </w:r>
    </w:p>
  </w:footnote>
  <w:footnote w:id="29">
    <w:p w:rsidR="00BC29F6" w:rsidRPr="007F6BEF" w:rsidRDefault="00BC29F6" w:rsidP="00BC29F6">
      <w:pPr>
        <w:pStyle w:val="a3"/>
        <w:bidi/>
        <w:jc w:val="both"/>
        <w:rPr>
          <w:rFonts w:ascii="Traditional Arabic" w:hAnsi="Traditional Arabic" w:cs="Traditional Arabic"/>
          <w:rtl/>
        </w:rPr>
      </w:pPr>
      <w:r>
        <w:rPr>
          <w:rStyle w:val="a4"/>
        </w:rPr>
        <w:footnoteRef/>
      </w:r>
      <w:r w:rsidR="007F6BEF">
        <w:rPr>
          <w:rFonts w:hint="cs"/>
          <w:rtl/>
        </w:rPr>
        <w:t xml:space="preserve"> </w:t>
      </w:r>
      <w:r w:rsidR="007F6BEF" w:rsidRPr="007F6BEF">
        <w:rPr>
          <w:rFonts w:ascii="Traditional Arabic" w:hAnsi="Traditional Arabic" w:cs="Traditional Arabic"/>
          <w:rtl/>
        </w:rPr>
        <w:t>الباجي</w:t>
      </w:r>
      <w:r w:rsidR="007F6BEF">
        <w:rPr>
          <w:rFonts w:ascii="Traditional Arabic" w:hAnsi="Traditional Arabic" w:cs="Traditional Arabic" w:hint="cs"/>
          <w:rtl/>
        </w:rPr>
        <w:t xml:space="preserve"> ، </w:t>
      </w:r>
      <w:r w:rsidR="007F6BEF">
        <w:rPr>
          <w:rFonts w:ascii="Traditional Arabic" w:hAnsi="Traditional Arabic" w:cs="Traditional Arabic" w:hint="cs"/>
          <w:b/>
          <w:bCs/>
          <w:rtl/>
        </w:rPr>
        <w:t>المنتقى شرح الموطأ</w:t>
      </w:r>
      <w:r w:rsidR="007F6BEF">
        <w:rPr>
          <w:rFonts w:ascii="Traditional Arabic" w:hAnsi="Traditional Arabic" w:cs="Traditional Arabic" w:hint="cs"/>
          <w:rtl/>
        </w:rPr>
        <w:t xml:space="preserve"> ، 5/165.</w:t>
      </w:r>
    </w:p>
  </w:footnote>
  <w:footnote w:id="30">
    <w:p w:rsidR="00E01C04" w:rsidRPr="00E01C04" w:rsidRDefault="00E01C04" w:rsidP="00695F8F">
      <w:pPr>
        <w:pStyle w:val="a3"/>
        <w:bidi/>
        <w:rPr>
          <w:rFonts w:ascii="Traditional Arabic" w:hAnsi="Traditional Arabic" w:cs="Traditional Arabic"/>
          <w:rtl/>
        </w:rPr>
      </w:pPr>
      <w:r>
        <w:rPr>
          <w:rStyle w:val="a4"/>
        </w:rPr>
        <w:footnoteRef/>
      </w:r>
      <w:r>
        <w:rPr>
          <w:rFonts w:ascii="Traditional Arabic" w:hAnsi="Traditional Arabic" w:cs="Traditional Arabic" w:hint="cs"/>
          <w:rtl/>
        </w:rPr>
        <w:t xml:space="preserve"> البهوتي ، </w:t>
      </w:r>
      <w:r>
        <w:rPr>
          <w:rFonts w:ascii="Traditional Arabic" w:hAnsi="Traditional Arabic" w:cs="Traditional Arabic" w:hint="cs"/>
          <w:b/>
          <w:bCs/>
          <w:rtl/>
        </w:rPr>
        <w:t>كشاف القناع عن متن الإقناع</w:t>
      </w:r>
      <w:r>
        <w:rPr>
          <w:rFonts w:ascii="Traditional Arabic" w:hAnsi="Traditional Arabic" w:cs="Traditional Arabic" w:hint="cs"/>
          <w:rtl/>
        </w:rPr>
        <w:t xml:space="preserve"> ، 3/486.</w:t>
      </w:r>
    </w:p>
  </w:footnote>
  <w:footnote w:id="31">
    <w:p w:rsidR="00942AD5" w:rsidRPr="00942AD5" w:rsidRDefault="00942AD5" w:rsidP="00695F8F">
      <w:pPr>
        <w:pStyle w:val="a3"/>
        <w:bidi/>
        <w:jc w:val="both"/>
        <w:rPr>
          <w:rFonts w:ascii="Traditional Arabic" w:hAnsi="Traditional Arabic" w:cs="Traditional Arabic"/>
          <w:rtl/>
        </w:rPr>
      </w:pPr>
      <w:r>
        <w:rPr>
          <w:rStyle w:val="a4"/>
        </w:rPr>
        <w:footnoteRef/>
      </w:r>
      <w:r>
        <w:rPr>
          <w:rFonts w:ascii="Traditional Arabic" w:hAnsi="Traditional Arabic" w:cs="Traditional Arabic" w:hint="cs"/>
          <w:rtl/>
        </w:rPr>
        <w:t xml:space="preserve"> الشافعي ، </w:t>
      </w:r>
      <w:r>
        <w:rPr>
          <w:rFonts w:ascii="Traditional Arabic" w:hAnsi="Traditional Arabic" w:cs="Traditional Arabic" w:hint="cs"/>
          <w:b/>
          <w:bCs/>
          <w:rtl/>
        </w:rPr>
        <w:t>الأم</w:t>
      </w:r>
      <w:r>
        <w:rPr>
          <w:rFonts w:ascii="Traditional Arabic" w:hAnsi="Traditional Arabic" w:cs="Traditional Arabic" w:hint="cs"/>
          <w:rtl/>
        </w:rPr>
        <w:t xml:space="preserve"> ، 7/114.</w:t>
      </w:r>
    </w:p>
  </w:footnote>
  <w:footnote w:id="32">
    <w:p w:rsidR="00646999" w:rsidRPr="00401391" w:rsidRDefault="00646999" w:rsidP="00646999">
      <w:pPr>
        <w:pStyle w:val="a3"/>
        <w:bidi/>
        <w:rPr>
          <w:rFonts w:ascii="Traditional Arabic" w:hAnsi="Traditional Arabic" w:cs="Traditional Arabic"/>
          <w:lang w:val="en-US"/>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انظر: </w:t>
      </w:r>
      <w:r w:rsidR="006A7427">
        <w:rPr>
          <w:rFonts w:ascii="Traditional Arabic" w:hAnsi="Traditional Arabic" w:cs="Traditional Arabic" w:hint="cs"/>
          <w:rtl/>
        </w:rPr>
        <w:t xml:space="preserve">ابن قدامة، </w:t>
      </w:r>
      <w:r w:rsidRPr="00732A42">
        <w:rPr>
          <w:rFonts w:ascii="Traditional Arabic" w:hAnsi="Traditional Arabic" w:cs="Traditional Arabic"/>
          <w:b/>
          <w:bCs/>
          <w:rtl/>
        </w:rPr>
        <w:t>المغني</w:t>
      </w:r>
      <w:r w:rsidR="00942AD5">
        <w:rPr>
          <w:rFonts w:ascii="Traditional Arabic" w:hAnsi="Traditional Arabic" w:cs="Traditional Arabic" w:hint="cs"/>
          <w:b/>
          <w:bCs/>
          <w:rtl/>
        </w:rPr>
        <w:t xml:space="preserve"> </w:t>
      </w:r>
      <w:r w:rsidR="00942AD5">
        <w:rPr>
          <w:rFonts w:ascii="Traditional Arabic" w:hAnsi="Traditional Arabic" w:cs="Traditional Arabic" w:hint="cs"/>
          <w:rtl/>
        </w:rPr>
        <w:t>،</w:t>
      </w:r>
      <w:r w:rsidRPr="00401391">
        <w:rPr>
          <w:rFonts w:ascii="Traditional Arabic" w:hAnsi="Traditional Arabic" w:cs="Traditional Arabic"/>
          <w:rtl/>
        </w:rPr>
        <w:t xml:space="preserve"> 5/397، وأيضا:</w:t>
      </w:r>
      <w:r w:rsidR="006A7427">
        <w:rPr>
          <w:rFonts w:ascii="Traditional Arabic" w:hAnsi="Traditional Arabic" w:cs="Traditional Arabic" w:hint="cs"/>
          <w:rtl/>
        </w:rPr>
        <w:t xml:space="preserve"> ابن مفلح،</w:t>
      </w:r>
      <w:r w:rsidRPr="00401391">
        <w:rPr>
          <w:rFonts w:ascii="Traditional Arabic" w:hAnsi="Traditional Arabic" w:cs="Traditional Arabic"/>
          <w:rtl/>
        </w:rPr>
        <w:t xml:space="preserve"> </w:t>
      </w:r>
      <w:r w:rsidRPr="00732A42">
        <w:rPr>
          <w:rFonts w:ascii="Traditional Arabic" w:hAnsi="Traditional Arabic" w:cs="Traditional Arabic"/>
          <w:b/>
          <w:bCs/>
          <w:rtl/>
        </w:rPr>
        <w:t>المبدع</w:t>
      </w:r>
      <w:r w:rsidRPr="00401391">
        <w:rPr>
          <w:rFonts w:ascii="Traditional Arabic" w:hAnsi="Traditional Arabic" w:cs="Traditional Arabic"/>
          <w:rtl/>
        </w:rPr>
        <w:t xml:space="preserve"> </w:t>
      </w:r>
      <w:r w:rsidRPr="00732A42">
        <w:rPr>
          <w:rFonts w:ascii="Traditional Arabic" w:hAnsi="Traditional Arabic" w:cs="Traditional Arabic"/>
          <w:b/>
          <w:bCs/>
          <w:rtl/>
        </w:rPr>
        <w:t>في شرح المقنع</w:t>
      </w:r>
      <w:r w:rsidR="00942AD5">
        <w:rPr>
          <w:rFonts w:ascii="Traditional Arabic" w:hAnsi="Traditional Arabic" w:cs="Traditional Arabic" w:hint="cs"/>
          <w:b/>
          <w:bCs/>
          <w:rtl/>
        </w:rPr>
        <w:t xml:space="preserve"> </w:t>
      </w:r>
      <w:r w:rsidR="00942AD5">
        <w:rPr>
          <w:rFonts w:ascii="Traditional Arabic" w:hAnsi="Traditional Arabic" w:cs="Traditional Arabic" w:hint="cs"/>
          <w:rtl/>
        </w:rPr>
        <w:t>،</w:t>
      </w:r>
      <w:r w:rsidRPr="00401391">
        <w:rPr>
          <w:rFonts w:ascii="Traditional Arabic" w:hAnsi="Traditional Arabic" w:cs="Traditional Arabic"/>
          <w:rtl/>
        </w:rPr>
        <w:t xml:space="preserve"> 5/10.</w:t>
      </w:r>
    </w:p>
  </w:footnote>
  <w:footnote w:id="33">
    <w:p w:rsidR="00646999" w:rsidRPr="00401391" w:rsidRDefault="00646999" w:rsidP="00942AD5">
      <w:pPr>
        <w:pStyle w:val="a3"/>
        <w:bidi/>
        <w:rPr>
          <w:rFonts w:ascii="Traditional Arabic" w:hAnsi="Traditional Arabic" w:cs="Traditional Arabic"/>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00650C5A">
        <w:rPr>
          <w:rFonts w:ascii="Traditional Arabic" w:hAnsi="Traditional Arabic" w:cs="Traditional Arabic" w:hint="cs"/>
          <w:rtl/>
        </w:rPr>
        <w:t xml:space="preserve">الشوكاني، </w:t>
      </w:r>
      <w:r w:rsidRPr="00732A42">
        <w:rPr>
          <w:rFonts w:ascii="Traditional Arabic" w:hAnsi="Traditional Arabic" w:cs="Traditional Arabic"/>
          <w:b/>
          <w:bCs/>
          <w:rtl/>
        </w:rPr>
        <w:t>السيل الجرار</w:t>
      </w:r>
      <w:r w:rsidR="00942AD5">
        <w:rPr>
          <w:rFonts w:ascii="Traditional Arabic" w:hAnsi="Traditional Arabic" w:cs="Traditional Arabic" w:hint="cs"/>
          <w:b/>
          <w:bCs/>
          <w:rtl/>
        </w:rPr>
        <w:t xml:space="preserve"> ،</w:t>
      </w:r>
      <w:r w:rsidRPr="00401391">
        <w:rPr>
          <w:rFonts w:ascii="Traditional Arabic" w:hAnsi="Traditional Arabic" w:cs="Traditional Arabic"/>
          <w:rtl/>
        </w:rPr>
        <w:t xml:space="preserve"> 587.</w:t>
      </w:r>
    </w:p>
  </w:footnote>
  <w:footnote w:id="34">
    <w:p w:rsidR="00646999" w:rsidRPr="00401391" w:rsidRDefault="00646999" w:rsidP="00646999">
      <w:pPr>
        <w:pStyle w:val="a3"/>
        <w:bidi/>
        <w:rPr>
          <w:rFonts w:ascii="Traditional Arabic" w:hAnsi="Traditional Arabic" w:cs="Traditional Arabic"/>
          <w:rtl/>
          <w:lang w:val="en-US"/>
        </w:rPr>
      </w:pPr>
      <w:r w:rsidRPr="00401391">
        <w:rPr>
          <w:rStyle w:val="a4"/>
          <w:rFonts w:ascii="Traditional Arabic" w:hAnsi="Traditional Arabic" w:cs="Traditional Arabic"/>
        </w:rPr>
        <w:footnoteRef/>
      </w:r>
      <w:r w:rsidRPr="00401391">
        <w:rPr>
          <w:rFonts w:ascii="Traditional Arabic" w:hAnsi="Traditional Arabic" w:cs="Traditional Arabic"/>
          <w:rtl/>
          <w:lang w:val="en-US"/>
        </w:rPr>
        <w:t xml:space="preserve"> الحديث أخرجه أبو داود</w:t>
      </w:r>
      <w:r w:rsidR="00732A42">
        <w:rPr>
          <w:rFonts w:ascii="Traditional Arabic" w:hAnsi="Traditional Arabic" w:cs="Traditional Arabic"/>
          <w:lang w:val="en-US"/>
        </w:rPr>
        <w:t xml:space="preserve"> </w:t>
      </w:r>
      <w:r w:rsidR="00732A42">
        <w:rPr>
          <w:rFonts w:ascii="Traditional Arabic" w:hAnsi="Traditional Arabic" w:cs="Traditional Arabic" w:hint="cs"/>
          <w:rtl/>
          <w:lang w:val="en-US"/>
        </w:rPr>
        <w:t xml:space="preserve"> في </w:t>
      </w:r>
      <w:r w:rsidR="00732A42" w:rsidRPr="00732A42">
        <w:rPr>
          <w:rFonts w:ascii="Traditional Arabic" w:hAnsi="Traditional Arabic" w:cs="Traditional Arabic" w:hint="cs"/>
          <w:b/>
          <w:bCs/>
          <w:rtl/>
          <w:lang w:val="en-US"/>
        </w:rPr>
        <w:t>السنن</w:t>
      </w:r>
      <w:r w:rsidRPr="00401391">
        <w:rPr>
          <w:rFonts w:ascii="Traditional Arabic" w:hAnsi="Traditional Arabic" w:cs="Traditional Arabic"/>
          <w:rtl/>
          <w:lang w:val="en-US"/>
        </w:rPr>
        <w:t xml:space="preserve"> 3/304 برقم: 3594، وابن الجارود في </w:t>
      </w:r>
      <w:r w:rsidRPr="00732A42">
        <w:rPr>
          <w:rFonts w:ascii="Traditional Arabic" w:hAnsi="Traditional Arabic" w:cs="Traditional Arabic"/>
          <w:b/>
          <w:bCs/>
          <w:rtl/>
          <w:lang w:val="en-US"/>
        </w:rPr>
        <w:t>المنتقى</w:t>
      </w:r>
      <w:r w:rsidRPr="00401391">
        <w:rPr>
          <w:rFonts w:ascii="Traditional Arabic" w:hAnsi="Traditional Arabic" w:cs="Traditional Arabic"/>
          <w:rtl/>
          <w:lang w:val="en-US"/>
        </w:rPr>
        <w:t xml:space="preserve"> ص: 161 برقم: 637، والدارقطني</w:t>
      </w:r>
      <w:r w:rsidR="00732A42">
        <w:rPr>
          <w:rFonts w:ascii="Traditional Arabic" w:hAnsi="Traditional Arabic" w:cs="Traditional Arabic" w:hint="cs"/>
          <w:rtl/>
          <w:lang w:val="en-US"/>
        </w:rPr>
        <w:t xml:space="preserve"> في </w:t>
      </w:r>
      <w:r w:rsidR="00732A42" w:rsidRPr="00732A42">
        <w:rPr>
          <w:rFonts w:ascii="Traditional Arabic" w:hAnsi="Traditional Arabic" w:cs="Traditional Arabic" w:hint="cs"/>
          <w:b/>
          <w:bCs/>
          <w:rtl/>
          <w:lang w:val="en-US"/>
        </w:rPr>
        <w:t>السنن</w:t>
      </w:r>
      <w:r w:rsidRPr="00401391">
        <w:rPr>
          <w:rFonts w:ascii="Traditional Arabic" w:hAnsi="Traditional Arabic" w:cs="Traditional Arabic"/>
          <w:rtl/>
          <w:lang w:val="en-US"/>
        </w:rPr>
        <w:t xml:space="preserve"> 3/426 برقم: 2890، والبيهقي في </w:t>
      </w:r>
      <w:r w:rsidRPr="00732A42">
        <w:rPr>
          <w:rFonts w:ascii="Traditional Arabic" w:hAnsi="Traditional Arabic" w:cs="Traditional Arabic"/>
          <w:b/>
          <w:bCs/>
          <w:rtl/>
          <w:lang w:val="en-US"/>
        </w:rPr>
        <w:t>السنن الكبرى</w:t>
      </w:r>
      <w:r w:rsidRPr="00401391">
        <w:rPr>
          <w:rFonts w:ascii="Traditional Arabic" w:hAnsi="Traditional Arabic" w:cs="Traditional Arabic"/>
          <w:rtl/>
          <w:lang w:val="en-US"/>
        </w:rPr>
        <w:t xml:space="preserve"> 6/131 برقم: 11429.</w:t>
      </w:r>
    </w:p>
  </w:footnote>
  <w:footnote w:id="35">
    <w:p w:rsidR="00646999" w:rsidRPr="00401391" w:rsidRDefault="00646999" w:rsidP="00816622">
      <w:pPr>
        <w:pStyle w:val="a3"/>
        <w:bidi/>
        <w:rPr>
          <w:rFonts w:ascii="Traditional Arabic" w:hAnsi="Traditional Arabic" w:cs="Traditional Arabic"/>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00650C5A">
        <w:rPr>
          <w:rFonts w:ascii="Traditional Arabic" w:hAnsi="Traditional Arabic" w:cs="Traditional Arabic" w:hint="cs"/>
          <w:rtl/>
        </w:rPr>
        <w:t xml:space="preserve">الشوكاني، </w:t>
      </w:r>
      <w:r w:rsidRPr="00732A42">
        <w:rPr>
          <w:rFonts w:ascii="Traditional Arabic" w:hAnsi="Traditional Arabic" w:cs="Traditional Arabic"/>
          <w:b/>
          <w:bCs/>
          <w:rtl/>
        </w:rPr>
        <w:t>السيل الجرار</w:t>
      </w:r>
      <w:r w:rsidR="00816622">
        <w:rPr>
          <w:rFonts w:ascii="Traditional Arabic" w:hAnsi="Traditional Arabic" w:cs="Traditional Arabic" w:hint="cs"/>
          <w:b/>
          <w:bCs/>
          <w:rtl/>
        </w:rPr>
        <w:t xml:space="preserve"> ،</w:t>
      </w:r>
      <w:r w:rsidRPr="00401391">
        <w:rPr>
          <w:rFonts w:ascii="Traditional Arabic" w:hAnsi="Traditional Arabic" w:cs="Traditional Arabic"/>
          <w:rtl/>
        </w:rPr>
        <w:t xml:space="preserve"> 587.</w:t>
      </w:r>
    </w:p>
  </w:footnote>
  <w:footnote w:id="36">
    <w:p w:rsidR="00646999" w:rsidRPr="00401391" w:rsidRDefault="00646999" w:rsidP="00646999">
      <w:pPr>
        <w:pStyle w:val="a3"/>
        <w:bidi/>
        <w:rPr>
          <w:rFonts w:ascii="Traditional Arabic" w:hAnsi="Traditional Arabic" w:cs="Traditional Arabic"/>
          <w:rtl/>
        </w:rPr>
      </w:pPr>
      <w:r w:rsidRPr="00401391">
        <w:rPr>
          <w:rStyle w:val="a4"/>
          <w:rFonts w:ascii="Traditional Arabic" w:hAnsi="Traditional Arabic" w:cs="Traditional Arabic"/>
        </w:rPr>
        <w:footnoteRef/>
      </w:r>
      <w:r w:rsidR="00650C5A">
        <w:rPr>
          <w:rFonts w:ascii="Traditional Arabic" w:hAnsi="Traditional Arabic" w:cs="Traditional Arabic"/>
          <w:rtl/>
        </w:rPr>
        <w:t xml:space="preserve"> انظر: </w:t>
      </w:r>
      <w:r w:rsidRPr="00401391">
        <w:rPr>
          <w:rFonts w:ascii="Traditional Arabic" w:hAnsi="Traditional Arabic" w:cs="Traditional Arabic"/>
          <w:rtl/>
        </w:rPr>
        <w:t>ابن عبد البر</w:t>
      </w:r>
      <w:r w:rsidR="00650C5A">
        <w:rPr>
          <w:rFonts w:ascii="Traditional Arabic" w:hAnsi="Traditional Arabic" w:cs="Traditional Arabic" w:hint="cs"/>
          <w:rtl/>
        </w:rPr>
        <w:t xml:space="preserve">، </w:t>
      </w:r>
      <w:r w:rsidR="00650C5A" w:rsidRPr="00732A42">
        <w:rPr>
          <w:rFonts w:ascii="Traditional Arabic" w:hAnsi="Traditional Arabic" w:cs="Traditional Arabic" w:hint="cs"/>
          <w:b/>
          <w:bCs/>
          <w:rtl/>
        </w:rPr>
        <w:t>الكافي</w:t>
      </w:r>
      <w:r w:rsidR="00816622">
        <w:rPr>
          <w:rFonts w:ascii="Traditional Arabic" w:hAnsi="Traditional Arabic" w:cs="Traditional Arabic" w:hint="cs"/>
          <w:b/>
          <w:bCs/>
          <w:rtl/>
        </w:rPr>
        <w:t xml:space="preserve"> ،</w:t>
      </w:r>
      <w:r w:rsidRPr="00401391">
        <w:rPr>
          <w:rFonts w:ascii="Traditional Arabic" w:hAnsi="Traditional Arabic" w:cs="Traditional Arabic"/>
          <w:rtl/>
        </w:rPr>
        <w:t xml:space="preserve"> 2/757، و</w:t>
      </w:r>
      <w:r w:rsidR="00650C5A">
        <w:rPr>
          <w:rFonts w:ascii="Traditional Arabic" w:hAnsi="Traditional Arabic" w:cs="Traditional Arabic" w:hint="cs"/>
          <w:rtl/>
        </w:rPr>
        <w:t>ابن رشد،</w:t>
      </w:r>
      <w:r w:rsidR="00650C5A" w:rsidRPr="004440FA">
        <w:rPr>
          <w:rFonts w:ascii="Traditional Arabic" w:hAnsi="Traditional Arabic" w:cs="Traditional Arabic" w:hint="cs"/>
          <w:b/>
          <w:bCs/>
          <w:rtl/>
        </w:rPr>
        <w:t xml:space="preserve"> </w:t>
      </w:r>
      <w:r w:rsidRPr="004440FA">
        <w:rPr>
          <w:rFonts w:ascii="Traditional Arabic" w:hAnsi="Traditional Arabic" w:cs="Traditional Arabic"/>
          <w:b/>
          <w:bCs/>
          <w:rtl/>
        </w:rPr>
        <w:t>البيان والتحصيل</w:t>
      </w:r>
      <w:r w:rsidR="00816622">
        <w:rPr>
          <w:rFonts w:ascii="Traditional Arabic" w:hAnsi="Traditional Arabic" w:cs="Traditional Arabic" w:hint="cs"/>
          <w:b/>
          <w:bCs/>
          <w:rtl/>
        </w:rPr>
        <w:t xml:space="preserve"> ،</w:t>
      </w:r>
      <w:r w:rsidRPr="004440FA">
        <w:rPr>
          <w:rFonts w:ascii="Traditional Arabic" w:hAnsi="Traditional Arabic" w:cs="Traditional Arabic"/>
          <w:b/>
          <w:bCs/>
          <w:rtl/>
        </w:rPr>
        <w:t xml:space="preserve"> </w:t>
      </w:r>
      <w:r w:rsidRPr="00401391">
        <w:rPr>
          <w:rFonts w:ascii="Traditional Arabic" w:hAnsi="Traditional Arabic" w:cs="Traditional Arabic"/>
          <w:rtl/>
        </w:rPr>
        <w:t xml:space="preserve">4/226، </w:t>
      </w:r>
      <w:r w:rsidRPr="004440FA">
        <w:rPr>
          <w:rFonts w:ascii="Traditional Arabic" w:hAnsi="Traditional Arabic" w:cs="Traditional Arabic"/>
          <w:b/>
          <w:bCs/>
          <w:rtl/>
        </w:rPr>
        <w:t>والمقدمات الممهدات</w:t>
      </w:r>
      <w:r w:rsidR="00816622">
        <w:rPr>
          <w:rFonts w:ascii="Traditional Arabic" w:hAnsi="Traditional Arabic" w:cs="Traditional Arabic" w:hint="cs"/>
          <w:b/>
          <w:bCs/>
          <w:rtl/>
        </w:rPr>
        <w:t xml:space="preserve"> ،</w:t>
      </w:r>
      <w:r w:rsidRPr="00401391">
        <w:rPr>
          <w:rFonts w:ascii="Traditional Arabic" w:hAnsi="Traditional Arabic" w:cs="Traditional Arabic"/>
          <w:rtl/>
        </w:rPr>
        <w:t xml:space="preserve"> 2/243.</w:t>
      </w:r>
    </w:p>
  </w:footnote>
  <w:footnote w:id="37">
    <w:p w:rsidR="00646999" w:rsidRPr="00401391" w:rsidRDefault="00646999" w:rsidP="00695F8F">
      <w:pPr>
        <w:pStyle w:val="a3"/>
        <w:bidi/>
        <w:rPr>
          <w:rFonts w:ascii="Traditional Arabic" w:hAnsi="Traditional Arabic" w:cs="Traditional Arabic"/>
          <w:rtl/>
          <w:lang w:val="en-US"/>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00650C5A">
        <w:rPr>
          <w:rFonts w:ascii="Traditional Arabic" w:hAnsi="Traditional Arabic" w:cs="Traditional Arabic" w:hint="cs"/>
          <w:rtl/>
        </w:rPr>
        <w:t>ابن رشد،</w:t>
      </w:r>
      <w:r w:rsidR="00650C5A" w:rsidRPr="004440FA">
        <w:rPr>
          <w:rFonts w:ascii="Traditional Arabic" w:hAnsi="Traditional Arabic" w:cs="Traditional Arabic" w:hint="cs"/>
          <w:b/>
          <w:bCs/>
          <w:rtl/>
        </w:rPr>
        <w:t xml:space="preserve"> </w:t>
      </w:r>
      <w:r w:rsidRPr="004440FA">
        <w:rPr>
          <w:rFonts w:ascii="Traditional Arabic" w:hAnsi="Traditional Arabic" w:cs="Traditional Arabic"/>
          <w:b/>
          <w:bCs/>
          <w:rtl/>
        </w:rPr>
        <w:t>المقدمات الممهدات</w:t>
      </w:r>
      <w:r w:rsidR="00816622">
        <w:rPr>
          <w:rFonts w:ascii="Traditional Arabic" w:hAnsi="Traditional Arabic" w:cs="Traditional Arabic" w:hint="cs"/>
          <w:b/>
          <w:bCs/>
          <w:rtl/>
        </w:rPr>
        <w:t xml:space="preserve"> ،</w:t>
      </w:r>
      <w:r w:rsidRPr="004440FA">
        <w:rPr>
          <w:rFonts w:ascii="Traditional Arabic" w:hAnsi="Traditional Arabic" w:cs="Traditional Arabic"/>
          <w:b/>
          <w:bCs/>
          <w:rtl/>
        </w:rPr>
        <w:t xml:space="preserve"> </w:t>
      </w:r>
      <w:r w:rsidRPr="00401391">
        <w:rPr>
          <w:rFonts w:ascii="Traditional Arabic" w:hAnsi="Traditional Arabic" w:cs="Traditional Arabic"/>
          <w:rtl/>
        </w:rPr>
        <w:t>2/245.</w:t>
      </w:r>
    </w:p>
  </w:footnote>
  <w:footnote w:id="38">
    <w:p w:rsidR="00646999" w:rsidRPr="00401391" w:rsidRDefault="00646999" w:rsidP="00695F8F">
      <w:pPr>
        <w:pStyle w:val="a3"/>
        <w:bidi/>
        <w:rPr>
          <w:rFonts w:ascii="Traditional Arabic" w:hAnsi="Traditional Arabic" w:cs="Traditional Arabic"/>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00650C5A">
        <w:rPr>
          <w:rFonts w:ascii="Traditional Arabic" w:hAnsi="Traditional Arabic" w:cs="Traditional Arabic" w:hint="cs"/>
          <w:rtl/>
        </w:rPr>
        <w:t xml:space="preserve">الرصاع، </w:t>
      </w:r>
      <w:r w:rsidRPr="004440FA">
        <w:rPr>
          <w:rFonts w:ascii="Traditional Arabic" w:hAnsi="Traditional Arabic" w:cs="Traditional Arabic"/>
          <w:b/>
          <w:bCs/>
          <w:rtl/>
        </w:rPr>
        <w:t>شرح حدود ابن عرفة</w:t>
      </w:r>
      <w:r w:rsidR="00816622">
        <w:rPr>
          <w:rFonts w:ascii="Traditional Arabic" w:hAnsi="Traditional Arabic" w:cs="Traditional Arabic" w:hint="cs"/>
          <w:b/>
          <w:bCs/>
          <w:rtl/>
        </w:rPr>
        <w:t xml:space="preserve"> ،</w:t>
      </w:r>
      <w:r w:rsidRPr="00401391">
        <w:rPr>
          <w:rFonts w:ascii="Traditional Arabic" w:hAnsi="Traditional Arabic" w:cs="Traditional Arabic"/>
          <w:rtl/>
        </w:rPr>
        <w:t xml:space="preserve"> 401.</w:t>
      </w:r>
    </w:p>
  </w:footnote>
  <w:footnote w:id="39">
    <w:p w:rsidR="00646999" w:rsidRPr="00401391" w:rsidRDefault="00646999" w:rsidP="00646999">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rPr>
        <w:t xml:space="preserve"> </w:t>
      </w:r>
      <w:r w:rsidRPr="00401391">
        <w:rPr>
          <w:rFonts w:ascii="Traditional Arabic" w:hAnsi="Traditional Arabic" w:cs="Traditional Arabic"/>
          <w:rtl/>
        </w:rPr>
        <w:t xml:space="preserve"> قال علي رضي الله عنه: "لا يصلح الناس إلا ذلك". وقال الشاطبي: "وجه المصلحة فيه أن الناس لهم حاجة إلى الصناع وهم يغيبون عن الأمتعة في غالب الأحوال، والأغلب عليهم التفريط وترك الحفظ". انظر:</w:t>
      </w:r>
      <w:r w:rsidR="00650C5A">
        <w:rPr>
          <w:rFonts w:ascii="Traditional Arabic" w:hAnsi="Traditional Arabic" w:cs="Traditional Arabic" w:hint="cs"/>
          <w:rtl/>
        </w:rPr>
        <w:t xml:space="preserve"> الشاطبي،</w:t>
      </w:r>
      <w:r w:rsidRPr="00401391">
        <w:rPr>
          <w:rFonts w:ascii="Traditional Arabic" w:hAnsi="Traditional Arabic" w:cs="Traditional Arabic"/>
          <w:rtl/>
        </w:rPr>
        <w:t xml:space="preserve"> </w:t>
      </w:r>
      <w:r w:rsidRPr="004440FA">
        <w:rPr>
          <w:rFonts w:ascii="Traditional Arabic" w:hAnsi="Traditional Arabic" w:cs="Traditional Arabic"/>
          <w:b/>
          <w:bCs/>
          <w:rtl/>
        </w:rPr>
        <w:t>الاعتصام</w:t>
      </w:r>
      <w:r w:rsidR="00816622">
        <w:rPr>
          <w:rFonts w:ascii="Traditional Arabic" w:hAnsi="Traditional Arabic" w:cs="Traditional Arabic" w:hint="cs"/>
          <w:b/>
          <w:bCs/>
          <w:rtl/>
        </w:rPr>
        <w:t xml:space="preserve"> ،</w:t>
      </w:r>
      <w:r w:rsidRPr="00401391">
        <w:rPr>
          <w:rFonts w:ascii="Traditional Arabic" w:hAnsi="Traditional Arabic" w:cs="Traditional Arabic"/>
          <w:rtl/>
        </w:rPr>
        <w:t xml:space="preserve"> 1/616.</w:t>
      </w:r>
    </w:p>
  </w:footnote>
  <w:footnote w:id="40">
    <w:p w:rsidR="00646999" w:rsidRPr="00401391" w:rsidRDefault="00646999" w:rsidP="00646999">
      <w:pPr>
        <w:pStyle w:val="a3"/>
        <w:bidi/>
        <w:rPr>
          <w:rFonts w:ascii="Traditional Arabic" w:hAnsi="Traditional Arabic" w:cs="Traditional Arabic"/>
          <w:rtl/>
          <w:lang w:val="en-US"/>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انظر:</w:t>
      </w:r>
      <w:r w:rsidR="00650C5A">
        <w:rPr>
          <w:rFonts w:ascii="Traditional Arabic" w:hAnsi="Traditional Arabic" w:cs="Traditional Arabic" w:hint="cs"/>
          <w:rtl/>
        </w:rPr>
        <w:t xml:space="preserve"> السرخسي، </w:t>
      </w:r>
      <w:r w:rsidRPr="00401391">
        <w:rPr>
          <w:rFonts w:ascii="Traditional Arabic" w:hAnsi="Traditional Arabic" w:cs="Traditional Arabic"/>
          <w:rtl/>
        </w:rPr>
        <w:t xml:space="preserve"> </w:t>
      </w:r>
      <w:r w:rsidRPr="004440FA">
        <w:rPr>
          <w:rFonts w:ascii="Traditional Arabic" w:hAnsi="Traditional Arabic" w:cs="Traditional Arabic"/>
          <w:b/>
          <w:bCs/>
          <w:rtl/>
        </w:rPr>
        <w:t>المبسوط</w:t>
      </w:r>
      <w:r w:rsidR="00816622">
        <w:rPr>
          <w:rFonts w:ascii="Traditional Arabic" w:hAnsi="Traditional Arabic" w:cs="Traditional Arabic" w:hint="cs"/>
          <w:b/>
          <w:bCs/>
          <w:rtl/>
        </w:rPr>
        <w:t xml:space="preserve"> ،</w:t>
      </w:r>
      <w:r w:rsidRPr="00401391">
        <w:rPr>
          <w:rFonts w:ascii="Traditional Arabic" w:hAnsi="Traditional Arabic" w:cs="Traditional Arabic"/>
          <w:rtl/>
        </w:rPr>
        <w:t xml:space="preserve"> 15/81، و</w:t>
      </w:r>
      <w:r w:rsidR="00650C5A">
        <w:rPr>
          <w:rFonts w:ascii="Traditional Arabic" w:hAnsi="Traditional Arabic" w:cs="Traditional Arabic" w:hint="cs"/>
          <w:rtl/>
        </w:rPr>
        <w:t xml:space="preserve">الكاساني، </w:t>
      </w:r>
      <w:r w:rsidRPr="004440FA">
        <w:rPr>
          <w:rFonts w:ascii="Traditional Arabic" w:hAnsi="Traditional Arabic" w:cs="Traditional Arabic"/>
          <w:b/>
          <w:bCs/>
          <w:rtl/>
        </w:rPr>
        <w:t>بدائع الصنائع</w:t>
      </w:r>
      <w:r w:rsidR="00816622">
        <w:rPr>
          <w:rFonts w:ascii="Traditional Arabic" w:hAnsi="Traditional Arabic" w:cs="Traditional Arabic" w:hint="cs"/>
          <w:b/>
          <w:bCs/>
          <w:rtl/>
        </w:rPr>
        <w:t xml:space="preserve"> ،</w:t>
      </w:r>
      <w:r w:rsidRPr="00401391">
        <w:rPr>
          <w:rFonts w:ascii="Traditional Arabic" w:hAnsi="Traditional Arabic" w:cs="Traditional Arabic"/>
          <w:rtl/>
        </w:rPr>
        <w:t xml:space="preserve"> 4/205</w:t>
      </w:r>
      <w:r w:rsidRPr="00401391">
        <w:rPr>
          <w:rFonts w:ascii="Traditional Arabic" w:hAnsi="Traditional Arabic" w:cs="Traditional Arabic"/>
          <w:rtl/>
          <w:lang w:val="en-US"/>
        </w:rPr>
        <w:t>، و</w:t>
      </w:r>
      <w:r w:rsidR="00650C5A">
        <w:rPr>
          <w:rFonts w:ascii="Traditional Arabic" w:hAnsi="Traditional Arabic" w:cs="Traditional Arabic" w:hint="cs"/>
          <w:rtl/>
          <w:lang w:val="en-US"/>
        </w:rPr>
        <w:t xml:space="preserve">المرغيناني، </w:t>
      </w:r>
      <w:r w:rsidRPr="004440FA">
        <w:rPr>
          <w:rFonts w:ascii="Traditional Arabic" w:hAnsi="Traditional Arabic" w:cs="Traditional Arabic"/>
          <w:b/>
          <w:bCs/>
          <w:rtl/>
          <w:lang w:val="en-US"/>
        </w:rPr>
        <w:t>الهداية</w:t>
      </w:r>
      <w:r w:rsidR="00816622">
        <w:rPr>
          <w:rFonts w:ascii="Traditional Arabic" w:hAnsi="Traditional Arabic" w:cs="Traditional Arabic" w:hint="cs"/>
          <w:b/>
          <w:bCs/>
          <w:rtl/>
          <w:lang w:val="en-US"/>
        </w:rPr>
        <w:t xml:space="preserve"> ،</w:t>
      </w:r>
      <w:r w:rsidRPr="00401391">
        <w:rPr>
          <w:rFonts w:ascii="Traditional Arabic" w:hAnsi="Traditional Arabic" w:cs="Traditional Arabic"/>
          <w:rtl/>
          <w:lang w:val="en-US"/>
        </w:rPr>
        <w:t xml:space="preserve"> 3/242.</w:t>
      </w:r>
    </w:p>
  </w:footnote>
  <w:footnote w:id="41">
    <w:p w:rsidR="00646999" w:rsidRPr="00401391" w:rsidRDefault="00646999" w:rsidP="00646999">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sidR="00E60346" w:rsidRPr="00401391">
        <w:rPr>
          <w:rFonts w:ascii="Traditional Arabic" w:hAnsi="Traditional Arabic" w:cs="Traditional Arabic"/>
          <w:rtl/>
        </w:rPr>
        <w:t xml:space="preserve">انظر: </w:t>
      </w:r>
      <w:r w:rsidR="00650C5A">
        <w:rPr>
          <w:rFonts w:ascii="Traditional Arabic" w:hAnsi="Traditional Arabic" w:cs="Traditional Arabic" w:hint="cs"/>
          <w:rtl/>
        </w:rPr>
        <w:t>د. نزيه حماد،</w:t>
      </w:r>
      <w:r w:rsidR="00650C5A" w:rsidRPr="004440FA">
        <w:rPr>
          <w:rFonts w:ascii="Traditional Arabic" w:hAnsi="Traditional Arabic" w:cs="Traditional Arabic" w:hint="cs"/>
          <w:b/>
          <w:bCs/>
          <w:rtl/>
        </w:rPr>
        <w:t xml:space="preserve"> </w:t>
      </w:r>
      <w:r w:rsidRPr="004440FA">
        <w:rPr>
          <w:rFonts w:ascii="Traditional Arabic" w:hAnsi="Traditional Arabic" w:cs="Traditional Arabic"/>
          <w:b/>
          <w:bCs/>
          <w:rtl/>
        </w:rPr>
        <w:t>تطوير الأعمال المصرفية</w:t>
      </w:r>
      <w:r w:rsidRPr="00401391">
        <w:rPr>
          <w:rFonts w:ascii="Traditional Arabic" w:hAnsi="Traditional Arabic" w:cs="Traditional Arabic"/>
          <w:rtl/>
        </w:rPr>
        <w:t xml:space="preserve"> ص: 442.</w:t>
      </w:r>
    </w:p>
  </w:footnote>
  <w:footnote w:id="42">
    <w:p w:rsidR="008F7201" w:rsidRPr="008F7201" w:rsidRDefault="008F7201" w:rsidP="008F7201">
      <w:pPr>
        <w:pStyle w:val="a3"/>
        <w:bidi/>
        <w:jc w:val="both"/>
        <w:rPr>
          <w:rFonts w:ascii="Traditional Arabic" w:hAnsi="Traditional Arabic" w:cs="Traditional Arabic"/>
          <w:rtl/>
        </w:rPr>
      </w:pPr>
      <w:r>
        <w:rPr>
          <w:rStyle w:val="a4"/>
        </w:rPr>
        <w:footnoteRef/>
      </w:r>
      <w:r>
        <w:rPr>
          <w:rFonts w:hint="cs"/>
          <w:rtl/>
        </w:rPr>
        <w:t xml:space="preserve"> </w:t>
      </w:r>
      <w:r>
        <w:rPr>
          <w:rFonts w:ascii="Traditional Arabic" w:hAnsi="Traditional Arabic" w:cs="Traditional Arabic" w:hint="cs"/>
          <w:rtl/>
        </w:rPr>
        <w:t xml:space="preserve">محمد بن فرامرو ، </w:t>
      </w:r>
      <w:r>
        <w:rPr>
          <w:rFonts w:ascii="Traditional Arabic" w:hAnsi="Traditional Arabic" w:cs="Traditional Arabic" w:hint="cs"/>
          <w:b/>
          <w:bCs/>
          <w:rtl/>
        </w:rPr>
        <w:t xml:space="preserve">درر الحكام شرح غرر الأحكام </w:t>
      </w:r>
      <w:r>
        <w:rPr>
          <w:rFonts w:ascii="Traditional Arabic" w:hAnsi="Traditional Arabic" w:cs="Traditional Arabic" w:hint="cs"/>
          <w:rtl/>
        </w:rPr>
        <w:t>، 2/310.</w:t>
      </w:r>
    </w:p>
  </w:footnote>
  <w:footnote w:id="43">
    <w:p w:rsidR="00E05B33" w:rsidRPr="00E05B33" w:rsidRDefault="00E05B33" w:rsidP="00E05B33">
      <w:pPr>
        <w:pStyle w:val="a3"/>
        <w:bidi/>
        <w:rPr>
          <w:rFonts w:ascii="Traditional Arabic" w:hAnsi="Traditional Arabic" w:cs="Traditional Arabic"/>
          <w:rtl/>
        </w:rPr>
      </w:pPr>
      <w:r>
        <w:rPr>
          <w:rStyle w:val="a4"/>
        </w:rPr>
        <w:footnoteRef/>
      </w:r>
      <w:r>
        <w:t xml:space="preserve"> </w:t>
      </w:r>
      <w:r>
        <w:rPr>
          <w:rFonts w:ascii="Traditional Arabic" w:hAnsi="Traditional Arabic" w:cs="Traditional Arabic" w:hint="cs"/>
          <w:rtl/>
        </w:rPr>
        <w:t xml:space="preserve">أصل القاعدة من الحديث النبوي الشريف. انظر الترمذي ، </w:t>
      </w:r>
      <w:r>
        <w:rPr>
          <w:rFonts w:ascii="Traditional Arabic" w:hAnsi="Traditional Arabic" w:cs="Traditional Arabic" w:hint="cs"/>
          <w:b/>
          <w:bCs/>
          <w:rtl/>
        </w:rPr>
        <w:t>سنن الترمذي</w:t>
      </w:r>
      <w:r>
        <w:rPr>
          <w:rFonts w:ascii="Traditional Arabic" w:hAnsi="Traditional Arabic" w:cs="Traditional Arabic" w:hint="cs"/>
          <w:rtl/>
        </w:rPr>
        <w:t xml:space="preserve"> ، 3/618</w:t>
      </w:r>
      <w:r w:rsidRPr="00E05B33">
        <w:rPr>
          <w:rFonts w:ascii="Traditional Arabic" w:hAnsi="Traditional Arabic" w:cs="Traditional Arabic"/>
          <w:rtl/>
        </w:rPr>
        <w:t xml:space="preserve"> برقم: </w:t>
      </w:r>
      <w:r>
        <w:rPr>
          <w:rFonts w:ascii="Traditional Arabic" w:hAnsi="Traditional Arabic" w:cs="Traditional Arabic" w:hint="cs"/>
          <w:rtl/>
        </w:rPr>
        <w:t>1341.</w:t>
      </w:r>
    </w:p>
  </w:footnote>
  <w:footnote w:id="44">
    <w:p w:rsidR="002F05DC" w:rsidRPr="002F05DC" w:rsidRDefault="002F05DC" w:rsidP="002F05DC">
      <w:pPr>
        <w:pStyle w:val="a3"/>
        <w:bidi/>
        <w:jc w:val="both"/>
        <w:rPr>
          <w:rFonts w:ascii="Traditional Arabic" w:hAnsi="Traditional Arabic" w:cs="Traditional Arabic"/>
          <w:rtl/>
        </w:rPr>
      </w:pPr>
      <w:r>
        <w:rPr>
          <w:rStyle w:val="a4"/>
        </w:rPr>
        <w:footnoteRef/>
      </w:r>
      <w:r>
        <w:rPr>
          <w:rFonts w:ascii="Traditional Arabic" w:hAnsi="Traditional Arabic" w:cs="Traditional Arabic" w:hint="cs"/>
          <w:rtl/>
        </w:rPr>
        <w:t>سورة آل عمران : الآية 46.</w:t>
      </w:r>
    </w:p>
  </w:footnote>
  <w:footnote w:id="45">
    <w:p w:rsidR="004A05D0" w:rsidRPr="00401391" w:rsidRDefault="004A05D0" w:rsidP="004A05D0">
      <w:pPr>
        <w:pStyle w:val="a3"/>
        <w:bidi/>
        <w:rPr>
          <w:rFonts w:ascii="Traditional Arabic" w:hAnsi="Traditional Arabic" w:cs="Traditional Arabic"/>
          <w:rtl/>
        </w:rPr>
      </w:pPr>
      <w:r w:rsidRPr="00401391">
        <w:rPr>
          <w:rStyle w:val="a4"/>
          <w:rFonts w:ascii="Traditional Arabic" w:hAnsi="Traditional Arabic" w:cs="Traditional Arabic"/>
        </w:rPr>
        <w:footnoteRef/>
      </w:r>
      <w:r w:rsidRPr="00401391">
        <w:rPr>
          <w:rFonts w:ascii="Traditional Arabic" w:hAnsi="Traditional Arabic" w:cs="Traditional Arabic"/>
          <w:rtl/>
        </w:rPr>
        <w:t xml:space="preserve"> </w:t>
      </w:r>
      <w:r>
        <w:rPr>
          <w:rFonts w:ascii="Traditional Arabic" w:hAnsi="Traditional Arabic" w:cs="Traditional Arabic" w:hint="cs"/>
          <w:rtl/>
        </w:rPr>
        <w:t>البهوتي،</w:t>
      </w:r>
      <w:r w:rsidRPr="004440FA">
        <w:rPr>
          <w:rFonts w:ascii="Traditional Arabic" w:hAnsi="Traditional Arabic" w:cs="Traditional Arabic" w:hint="cs"/>
          <w:b/>
          <w:bCs/>
          <w:rtl/>
        </w:rPr>
        <w:t xml:space="preserve"> </w:t>
      </w:r>
      <w:r w:rsidRPr="004440FA">
        <w:rPr>
          <w:rFonts w:ascii="Traditional Arabic" w:hAnsi="Traditional Arabic" w:cs="Traditional Arabic"/>
          <w:b/>
          <w:bCs/>
          <w:rtl/>
        </w:rPr>
        <w:t>كشاف القناع</w:t>
      </w:r>
      <w:r>
        <w:rPr>
          <w:rFonts w:ascii="Traditional Arabic" w:hAnsi="Traditional Arabic" w:cs="Traditional Arabic" w:hint="cs"/>
          <w:b/>
          <w:bCs/>
          <w:rtl/>
        </w:rPr>
        <w:t xml:space="preserve"> ،</w:t>
      </w:r>
      <w:r w:rsidRPr="004440FA">
        <w:rPr>
          <w:rFonts w:ascii="Traditional Arabic" w:hAnsi="Traditional Arabic" w:cs="Traditional Arabic"/>
          <w:b/>
          <w:bCs/>
          <w:rtl/>
        </w:rPr>
        <w:t xml:space="preserve"> </w:t>
      </w:r>
      <w:r w:rsidRPr="00401391">
        <w:rPr>
          <w:rFonts w:ascii="Traditional Arabic" w:hAnsi="Traditional Arabic" w:cs="Traditional Arabic"/>
          <w:rtl/>
        </w:rPr>
        <w:t>3/523.</w:t>
      </w:r>
    </w:p>
  </w:footnote>
  <w:footnote w:id="46">
    <w:p w:rsidR="00902F34" w:rsidRDefault="00902F34" w:rsidP="00902F34">
      <w:pPr>
        <w:pStyle w:val="a3"/>
        <w:bidi/>
        <w:rPr>
          <w:rFonts w:hint="cs"/>
          <w:rtl/>
        </w:rPr>
      </w:pPr>
      <w:r>
        <w:rPr>
          <w:rStyle w:val="a4"/>
        </w:rPr>
        <w:footnoteRef/>
      </w:r>
      <w:r>
        <w:t xml:space="preserve"> </w:t>
      </w:r>
      <w:r w:rsidRPr="00902F34">
        <w:rPr>
          <w:rFonts w:ascii="Traditional Arabic" w:hAnsi="Traditional Arabic" w:cs="Traditional Arabic"/>
          <w:rtl/>
        </w:rPr>
        <w:t>وقد جاء في المنتقى شرح الموطاء: "فإن ادعى (المضارب) خسارة وكان وجه ما ادعاه معروفا بأن يكون من سافر مثل سفره أو تجر مثل تجارته أصابه ذلك أو كان وجهه معروفا فهو مصدق، وإن ادعى من ذلك ما لا يعرف فروى ابن أيمن عن مالك أنه ضامن</w:t>
      </w:r>
      <w:r>
        <w:rPr>
          <w:rFonts w:ascii="Traditional Arabic" w:hAnsi="Traditional Arabic" w:cs="Traditional Arabic" w:hint="cs"/>
          <w:rtl/>
        </w:rPr>
        <w:t>.</w:t>
      </w:r>
      <w:r w:rsidRPr="00902F34">
        <w:rPr>
          <w:rFonts w:ascii="Traditional Arabic" w:hAnsi="Traditional Arabic" w:cs="Traditional Arabic"/>
          <w:rtl/>
        </w:rPr>
        <w:t xml:space="preserve"> </w:t>
      </w:r>
      <w:r w:rsidRPr="007F6BEF">
        <w:rPr>
          <w:rFonts w:ascii="Traditional Arabic" w:hAnsi="Traditional Arabic" w:cs="Traditional Arabic"/>
          <w:rtl/>
        </w:rPr>
        <w:t>الباجي</w:t>
      </w:r>
      <w:r>
        <w:rPr>
          <w:rFonts w:ascii="Traditional Arabic" w:hAnsi="Traditional Arabic" w:cs="Traditional Arabic" w:hint="cs"/>
          <w:rtl/>
        </w:rPr>
        <w:t xml:space="preserve"> ، </w:t>
      </w:r>
      <w:r>
        <w:rPr>
          <w:rFonts w:ascii="Traditional Arabic" w:hAnsi="Traditional Arabic" w:cs="Traditional Arabic" w:hint="cs"/>
          <w:b/>
          <w:bCs/>
          <w:rtl/>
        </w:rPr>
        <w:t>المنتقى شرح الموطأ</w:t>
      </w:r>
      <w:r>
        <w:rPr>
          <w:rFonts w:ascii="Traditional Arabic" w:hAnsi="Traditional Arabic" w:cs="Traditional Arabic" w:hint="cs"/>
          <w:rtl/>
        </w:rPr>
        <w:t xml:space="preserve"> ، 5/165.</w:t>
      </w:r>
    </w:p>
  </w:footnote>
  <w:footnote w:id="47">
    <w:p w:rsidR="008E4D6C" w:rsidRPr="00E01C04" w:rsidRDefault="008E4D6C" w:rsidP="008E4D6C">
      <w:pPr>
        <w:pStyle w:val="a3"/>
        <w:bidi/>
        <w:rPr>
          <w:rFonts w:ascii="Traditional Arabic" w:hAnsi="Traditional Arabic" w:cs="Traditional Arabic"/>
          <w:rtl/>
        </w:rPr>
      </w:pPr>
      <w:r>
        <w:rPr>
          <w:rStyle w:val="a4"/>
        </w:rPr>
        <w:footnoteRef/>
      </w:r>
      <w:r>
        <w:rPr>
          <w:rFonts w:ascii="Traditional Arabic" w:hAnsi="Traditional Arabic" w:cs="Traditional Arabic" w:hint="cs"/>
          <w:rtl/>
        </w:rPr>
        <w:t xml:space="preserve"> انظر:  الشافعي ، </w:t>
      </w:r>
      <w:r>
        <w:rPr>
          <w:rFonts w:ascii="Traditional Arabic" w:hAnsi="Traditional Arabic" w:cs="Traditional Arabic" w:hint="cs"/>
          <w:b/>
          <w:bCs/>
          <w:rtl/>
        </w:rPr>
        <w:t>الأم</w:t>
      </w:r>
      <w:r>
        <w:rPr>
          <w:rFonts w:ascii="Traditional Arabic" w:hAnsi="Traditional Arabic" w:cs="Traditional Arabic" w:hint="cs"/>
          <w:rtl/>
        </w:rPr>
        <w:t xml:space="preserve"> ، 7/114 والبهوتي ، </w:t>
      </w:r>
      <w:r>
        <w:rPr>
          <w:rFonts w:ascii="Traditional Arabic" w:hAnsi="Traditional Arabic" w:cs="Traditional Arabic" w:hint="cs"/>
          <w:b/>
          <w:bCs/>
          <w:rtl/>
        </w:rPr>
        <w:t>كشاف القناع عن متن الإقناع</w:t>
      </w:r>
      <w:r>
        <w:rPr>
          <w:rFonts w:ascii="Traditional Arabic" w:hAnsi="Traditional Arabic" w:cs="Traditional Arabic" w:hint="cs"/>
          <w:rtl/>
        </w:rPr>
        <w:t xml:space="preserve"> ، 3/486.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77BEE"/>
    <w:multiLevelType w:val="multilevel"/>
    <w:tmpl w:val="460A85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0B55C3B"/>
    <w:multiLevelType w:val="hybridMultilevel"/>
    <w:tmpl w:val="EA8E081E"/>
    <w:lvl w:ilvl="0" w:tplc="64FC7E1E">
      <w:numFmt w:val="bullet"/>
      <w:lvlText w:val="-"/>
      <w:lvlJc w:val="left"/>
      <w:pPr>
        <w:ind w:left="1080" w:hanging="360"/>
      </w:pPr>
      <w:rPr>
        <w:rFonts w:ascii="Traditional Arabic" w:eastAsia="Calibri" w:hAnsi="Traditional Arabic" w:cs="Traditional Arabic" w:hint="default"/>
      </w:rPr>
    </w:lvl>
    <w:lvl w:ilvl="1" w:tplc="44090003">
      <w:start w:val="1"/>
      <w:numFmt w:val="bullet"/>
      <w:lvlText w:val="o"/>
      <w:lvlJc w:val="left"/>
      <w:pPr>
        <w:ind w:left="1800" w:hanging="360"/>
      </w:pPr>
      <w:rPr>
        <w:rFonts w:ascii="Courier New" w:hAnsi="Courier New" w:cs="Courier New" w:hint="default"/>
      </w:rPr>
    </w:lvl>
    <w:lvl w:ilvl="2" w:tplc="44090005">
      <w:start w:val="1"/>
      <w:numFmt w:val="decimal"/>
      <w:lvlText w:val="%3."/>
      <w:lvlJc w:val="left"/>
      <w:pPr>
        <w:tabs>
          <w:tab w:val="num" w:pos="2160"/>
        </w:tabs>
        <w:ind w:left="2160" w:hanging="360"/>
      </w:pPr>
    </w:lvl>
    <w:lvl w:ilvl="3" w:tplc="44090001">
      <w:start w:val="1"/>
      <w:numFmt w:val="decimal"/>
      <w:lvlText w:val="%4."/>
      <w:lvlJc w:val="left"/>
      <w:pPr>
        <w:tabs>
          <w:tab w:val="num" w:pos="2880"/>
        </w:tabs>
        <w:ind w:left="2880" w:hanging="360"/>
      </w:pPr>
    </w:lvl>
    <w:lvl w:ilvl="4" w:tplc="44090003">
      <w:start w:val="1"/>
      <w:numFmt w:val="decimal"/>
      <w:lvlText w:val="%5."/>
      <w:lvlJc w:val="left"/>
      <w:pPr>
        <w:tabs>
          <w:tab w:val="num" w:pos="3600"/>
        </w:tabs>
        <w:ind w:left="3600" w:hanging="360"/>
      </w:pPr>
    </w:lvl>
    <w:lvl w:ilvl="5" w:tplc="44090005">
      <w:start w:val="1"/>
      <w:numFmt w:val="decimal"/>
      <w:lvlText w:val="%6."/>
      <w:lvlJc w:val="left"/>
      <w:pPr>
        <w:tabs>
          <w:tab w:val="num" w:pos="4320"/>
        </w:tabs>
        <w:ind w:left="4320" w:hanging="360"/>
      </w:pPr>
    </w:lvl>
    <w:lvl w:ilvl="6" w:tplc="44090001">
      <w:start w:val="1"/>
      <w:numFmt w:val="decimal"/>
      <w:lvlText w:val="%7."/>
      <w:lvlJc w:val="left"/>
      <w:pPr>
        <w:tabs>
          <w:tab w:val="num" w:pos="5040"/>
        </w:tabs>
        <w:ind w:left="5040" w:hanging="360"/>
      </w:pPr>
    </w:lvl>
    <w:lvl w:ilvl="7" w:tplc="44090003">
      <w:start w:val="1"/>
      <w:numFmt w:val="decimal"/>
      <w:lvlText w:val="%8."/>
      <w:lvlJc w:val="left"/>
      <w:pPr>
        <w:tabs>
          <w:tab w:val="num" w:pos="5760"/>
        </w:tabs>
        <w:ind w:left="5760" w:hanging="360"/>
      </w:pPr>
    </w:lvl>
    <w:lvl w:ilvl="8" w:tplc="44090005">
      <w:start w:val="1"/>
      <w:numFmt w:val="decimal"/>
      <w:lvlText w:val="%9."/>
      <w:lvlJc w:val="left"/>
      <w:pPr>
        <w:tabs>
          <w:tab w:val="num" w:pos="6480"/>
        </w:tabs>
        <w:ind w:left="6480" w:hanging="360"/>
      </w:pPr>
    </w:lvl>
  </w:abstractNum>
  <w:abstractNum w:abstractNumId="2">
    <w:nsid w:val="4A19599F"/>
    <w:multiLevelType w:val="multilevel"/>
    <w:tmpl w:val="D8561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C2122F"/>
    <w:multiLevelType w:val="multilevel"/>
    <w:tmpl w:val="9E7CA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A9E740D"/>
    <w:multiLevelType w:val="hybridMultilevel"/>
    <w:tmpl w:val="B3AA1538"/>
    <w:lvl w:ilvl="0" w:tplc="AC92CDE8">
      <w:start w:val="1"/>
      <w:numFmt w:val="bullet"/>
      <w:lvlText w:val="-"/>
      <w:lvlJc w:val="left"/>
      <w:pPr>
        <w:ind w:left="720" w:hanging="360"/>
      </w:pPr>
      <w:rPr>
        <w:rFonts w:ascii="Traditional Arabic" w:eastAsia="Calibri" w:hAnsi="Traditional Arabic" w:cs="Traditional Arabic"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 w:id="2"/>
  </w:footnotePr>
  <w:endnotePr>
    <w:endnote w:id="0"/>
    <w:endnote w:id="1"/>
  </w:endnotePr>
  <w:compat/>
  <w:rsids>
    <w:rsidRoot w:val="00646999"/>
    <w:rsid w:val="0000050B"/>
    <w:rsid w:val="000263D4"/>
    <w:rsid w:val="000425F6"/>
    <w:rsid w:val="0006155E"/>
    <w:rsid w:val="00061B11"/>
    <w:rsid w:val="00077805"/>
    <w:rsid w:val="00080BF5"/>
    <w:rsid w:val="000B6103"/>
    <w:rsid w:val="000B6E34"/>
    <w:rsid w:val="000C1D75"/>
    <w:rsid w:val="000F53C5"/>
    <w:rsid w:val="001342B8"/>
    <w:rsid w:val="00147156"/>
    <w:rsid w:val="00147C65"/>
    <w:rsid w:val="0016681F"/>
    <w:rsid w:val="00193AC8"/>
    <w:rsid w:val="001A430B"/>
    <w:rsid w:val="001B1832"/>
    <w:rsid w:val="001B6997"/>
    <w:rsid w:val="0020499E"/>
    <w:rsid w:val="00211F57"/>
    <w:rsid w:val="002C028C"/>
    <w:rsid w:val="002F05DC"/>
    <w:rsid w:val="00310BF4"/>
    <w:rsid w:val="00314343"/>
    <w:rsid w:val="003F34E6"/>
    <w:rsid w:val="00401391"/>
    <w:rsid w:val="004227DE"/>
    <w:rsid w:val="004440FA"/>
    <w:rsid w:val="00445981"/>
    <w:rsid w:val="004625AF"/>
    <w:rsid w:val="004A05D0"/>
    <w:rsid w:val="004C1AE9"/>
    <w:rsid w:val="004D6A4F"/>
    <w:rsid w:val="004D6BAE"/>
    <w:rsid w:val="004E239F"/>
    <w:rsid w:val="004E3574"/>
    <w:rsid w:val="004E4E42"/>
    <w:rsid w:val="005430DB"/>
    <w:rsid w:val="00585736"/>
    <w:rsid w:val="005B4DCC"/>
    <w:rsid w:val="005C080B"/>
    <w:rsid w:val="00600F70"/>
    <w:rsid w:val="00607615"/>
    <w:rsid w:val="006174FB"/>
    <w:rsid w:val="00646999"/>
    <w:rsid w:val="00650C5A"/>
    <w:rsid w:val="006565C4"/>
    <w:rsid w:val="00682D0B"/>
    <w:rsid w:val="00690DC8"/>
    <w:rsid w:val="00694531"/>
    <w:rsid w:val="00695F8F"/>
    <w:rsid w:val="006A7427"/>
    <w:rsid w:val="006B09F8"/>
    <w:rsid w:val="006B6DDF"/>
    <w:rsid w:val="006D0817"/>
    <w:rsid w:val="006E4AB4"/>
    <w:rsid w:val="00703481"/>
    <w:rsid w:val="00712724"/>
    <w:rsid w:val="00732A42"/>
    <w:rsid w:val="007F6BEF"/>
    <w:rsid w:val="00816622"/>
    <w:rsid w:val="00827760"/>
    <w:rsid w:val="00834FB4"/>
    <w:rsid w:val="008438C9"/>
    <w:rsid w:val="008439B2"/>
    <w:rsid w:val="00865F3F"/>
    <w:rsid w:val="00874D46"/>
    <w:rsid w:val="00895B5D"/>
    <w:rsid w:val="008A5340"/>
    <w:rsid w:val="008B0F19"/>
    <w:rsid w:val="008B60BC"/>
    <w:rsid w:val="008C10ED"/>
    <w:rsid w:val="008C2DE9"/>
    <w:rsid w:val="008D13DE"/>
    <w:rsid w:val="008E4D6C"/>
    <w:rsid w:val="008F7201"/>
    <w:rsid w:val="00902F34"/>
    <w:rsid w:val="00937745"/>
    <w:rsid w:val="00942AD5"/>
    <w:rsid w:val="00966799"/>
    <w:rsid w:val="0097423B"/>
    <w:rsid w:val="009A3353"/>
    <w:rsid w:val="009B4CE0"/>
    <w:rsid w:val="009E3487"/>
    <w:rsid w:val="00A834D3"/>
    <w:rsid w:val="00AF529F"/>
    <w:rsid w:val="00B0448A"/>
    <w:rsid w:val="00B06E52"/>
    <w:rsid w:val="00B17981"/>
    <w:rsid w:val="00B317F5"/>
    <w:rsid w:val="00B47BD9"/>
    <w:rsid w:val="00B61D9C"/>
    <w:rsid w:val="00B96B72"/>
    <w:rsid w:val="00BB5E06"/>
    <w:rsid w:val="00BC29F6"/>
    <w:rsid w:val="00BF0C1A"/>
    <w:rsid w:val="00C96703"/>
    <w:rsid w:val="00CA6008"/>
    <w:rsid w:val="00CC30A8"/>
    <w:rsid w:val="00CE521B"/>
    <w:rsid w:val="00CF5E8F"/>
    <w:rsid w:val="00D03AFA"/>
    <w:rsid w:val="00D16FB2"/>
    <w:rsid w:val="00D4224C"/>
    <w:rsid w:val="00D463D3"/>
    <w:rsid w:val="00D54C5F"/>
    <w:rsid w:val="00D73043"/>
    <w:rsid w:val="00D866C5"/>
    <w:rsid w:val="00D9212A"/>
    <w:rsid w:val="00DA60BD"/>
    <w:rsid w:val="00DC1E9A"/>
    <w:rsid w:val="00DD3529"/>
    <w:rsid w:val="00DD7B0E"/>
    <w:rsid w:val="00DE7626"/>
    <w:rsid w:val="00E01C04"/>
    <w:rsid w:val="00E05B33"/>
    <w:rsid w:val="00E12764"/>
    <w:rsid w:val="00E24B0D"/>
    <w:rsid w:val="00E2798A"/>
    <w:rsid w:val="00E57D44"/>
    <w:rsid w:val="00E60346"/>
    <w:rsid w:val="00E65ACB"/>
    <w:rsid w:val="00E71BEE"/>
    <w:rsid w:val="00E77F12"/>
    <w:rsid w:val="00EE4044"/>
    <w:rsid w:val="00F25F1B"/>
    <w:rsid w:val="00F37BE4"/>
    <w:rsid w:val="00F64703"/>
    <w:rsid w:val="00FA485D"/>
    <w:rsid w:val="00FF1B1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05"/>
    <w:pPr>
      <w:spacing w:after="200" w:line="276" w:lineRule="auto"/>
    </w:pPr>
    <w:rPr>
      <w:sz w:val="22"/>
      <w:szCs w:val="22"/>
      <w:lang w:val="en-MY" w:eastAsia="en-MY"/>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646999"/>
    <w:pPr>
      <w:spacing w:after="0" w:line="240" w:lineRule="auto"/>
    </w:pPr>
    <w:rPr>
      <w:sz w:val="20"/>
      <w:szCs w:val="20"/>
    </w:rPr>
  </w:style>
  <w:style w:type="character" w:customStyle="1" w:styleId="Char">
    <w:name w:val="نص حاشية سفلية Char"/>
    <w:link w:val="a3"/>
    <w:uiPriority w:val="99"/>
    <w:semiHidden/>
    <w:rsid w:val="00646999"/>
    <w:rPr>
      <w:sz w:val="20"/>
      <w:szCs w:val="20"/>
    </w:rPr>
  </w:style>
  <w:style w:type="character" w:styleId="a4">
    <w:name w:val="footnote reference"/>
    <w:uiPriority w:val="99"/>
    <w:semiHidden/>
    <w:unhideWhenUsed/>
    <w:rsid w:val="00646999"/>
    <w:rPr>
      <w:vertAlign w:val="superscript"/>
    </w:rPr>
  </w:style>
  <w:style w:type="character" w:styleId="Hyperlink">
    <w:name w:val="Hyperlink"/>
    <w:uiPriority w:val="99"/>
    <w:semiHidden/>
    <w:unhideWhenUsed/>
    <w:rsid w:val="00646999"/>
    <w:rPr>
      <w:color w:val="0000FF"/>
      <w:u w:val="single"/>
    </w:rPr>
  </w:style>
  <w:style w:type="paragraph" w:styleId="a5">
    <w:name w:val="No Spacing"/>
    <w:uiPriority w:val="1"/>
    <w:qFormat/>
    <w:rsid w:val="00646999"/>
    <w:rPr>
      <w:rFonts w:eastAsia="Calibri"/>
      <w:sz w:val="22"/>
      <w:szCs w:val="22"/>
      <w:lang w:val="en-MY"/>
    </w:rPr>
  </w:style>
  <w:style w:type="paragraph" w:styleId="a6">
    <w:name w:val="List Paragraph"/>
    <w:basedOn w:val="a"/>
    <w:uiPriority w:val="34"/>
    <w:qFormat/>
    <w:rsid w:val="00646999"/>
    <w:pPr>
      <w:ind w:left="720"/>
      <w:contextualSpacing/>
    </w:pPr>
    <w:rPr>
      <w:rFonts w:eastAsia="Calibri"/>
      <w:lang w:eastAsia="en-US"/>
    </w:rPr>
  </w:style>
  <w:style w:type="table" w:styleId="a7">
    <w:name w:val="Table Grid"/>
    <w:basedOn w:val="a1"/>
    <w:uiPriority w:val="59"/>
    <w:rsid w:val="006469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0"/>
    <w:uiPriority w:val="99"/>
    <w:semiHidden/>
    <w:unhideWhenUsed/>
    <w:rsid w:val="00646999"/>
    <w:pPr>
      <w:spacing w:after="0" w:line="240" w:lineRule="auto"/>
    </w:pPr>
    <w:rPr>
      <w:rFonts w:ascii="Tahoma" w:hAnsi="Tahoma" w:cs="Tahoma"/>
      <w:sz w:val="16"/>
      <w:szCs w:val="16"/>
    </w:rPr>
  </w:style>
  <w:style w:type="character" w:customStyle="1" w:styleId="Char0">
    <w:name w:val="نص في بالون Char"/>
    <w:link w:val="a8"/>
    <w:uiPriority w:val="99"/>
    <w:semiHidden/>
    <w:rsid w:val="00646999"/>
    <w:rPr>
      <w:rFonts w:ascii="Tahoma" w:hAnsi="Tahoma" w:cs="Tahoma"/>
      <w:sz w:val="16"/>
      <w:szCs w:val="16"/>
    </w:rPr>
  </w:style>
  <w:style w:type="paragraph" w:styleId="a9">
    <w:name w:val="header"/>
    <w:basedOn w:val="a"/>
    <w:link w:val="Char1"/>
    <w:uiPriority w:val="99"/>
    <w:semiHidden/>
    <w:unhideWhenUsed/>
    <w:rsid w:val="001B6997"/>
    <w:pPr>
      <w:tabs>
        <w:tab w:val="center" w:pos="4320"/>
        <w:tab w:val="right" w:pos="8640"/>
      </w:tabs>
    </w:pPr>
  </w:style>
  <w:style w:type="character" w:customStyle="1" w:styleId="Char1">
    <w:name w:val="رأس صفحة Char"/>
    <w:link w:val="a9"/>
    <w:uiPriority w:val="99"/>
    <w:semiHidden/>
    <w:rsid w:val="001B6997"/>
    <w:rPr>
      <w:sz w:val="22"/>
      <w:szCs w:val="22"/>
      <w:lang w:val="en-MY" w:eastAsia="en-MY"/>
    </w:rPr>
  </w:style>
  <w:style w:type="paragraph" w:styleId="aa">
    <w:name w:val="footer"/>
    <w:basedOn w:val="a"/>
    <w:link w:val="Char2"/>
    <w:uiPriority w:val="99"/>
    <w:unhideWhenUsed/>
    <w:rsid w:val="001B6997"/>
    <w:pPr>
      <w:tabs>
        <w:tab w:val="center" w:pos="4320"/>
        <w:tab w:val="right" w:pos="8640"/>
      </w:tabs>
    </w:pPr>
  </w:style>
  <w:style w:type="character" w:customStyle="1" w:styleId="Char2">
    <w:name w:val="تذييل صفحة Char"/>
    <w:link w:val="aa"/>
    <w:uiPriority w:val="99"/>
    <w:rsid w:val="001B6997"/>
    <w:rPr>
      <w:sz w:val="22"/>
      <w:szCs w:val="22"/>
      <w:lang w:val="en-MY" w:eastAsia="en-MY"/>
    </w:rPr>
  </w:style>
  <w:style w:type="character" w:styleId="ab">
    <w:name w:val="Emphasis"/>
    <w:uiPriority w:val="20"/>
    <w:qFormat/>
    <w:rsid w:val="00BF0C1A"/>
    <w:rPr>
      <w:i/>
      <w:iCs/>
      <w:sz w:val="24"/>
      <w:szCs w:val="24"/>
    </w:rPr>
  </w:style>
  <w:style w:type="paragraph" w:styleId="ac">
    <w:name w:val="Normal (Web)"/>
    <w:basedOn w:val="a"/>
    <w:uiPriority w:val="99"/>
    <w:semiHidden/>
    <w:unhideWhenUsed/>
    <w:rsid w:val="00BF0C1A"/>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r="http://schemas.openxmlformats.org/officeDocument/2006/relationships" xmlns:w="http://schemas.openxmlformats.org/wordprocessingml/2006/main">
  <w:divs>
    <w:div w:id="1740514867">
      <w:bodyDiv w:val="1"/>
      <w:marLeft w:val="0"/>
      <w:marRight w:val="0"/>
      <w:marTop w:val="0"/>
      <w:marBottom w:val="0"/>
      <w:divBdr>
        <w:top w:val="none" w:sz="0" w:space="0" w:color="auto"/>
        <w:left w:val="none" w:sz="0" w:space="0" w:color="auto"/>
        <w:bottom w:val="none" w:sz="0" w:space="0" w:color="auto"/>
        <w:right w:val="none" w:sz="0" w:space="0" w:color="auto"/>
      </w:divBdr>
    </w:div>
    <w:div w:id="1976255494">
      <w:bodyDiv w:val="1"/>
      <w:marLeft w:val="0"/>
      <w:marRight w:val="0"/>
      <w:marTop w:val="0"/>
      <w:marBottom w:val="0"/>
      <w:divBdr>
        <w:top w:val="none" w:sz="0" w:space="0" w:color="auto"/>
        <w:left w:val="none" w:sz="0" w:space="0" w:color="auto"/>
        <w:bottom w:val="none" w:sz="0" w:space="0" w:color="auto"/>
        <w:right w:val="none" w:sz="0" w:space="0" w:color="auto"/>
      </w:divBdr>
    </w:div>
    <w:div w:id="1995062547">
      <w:bodyDiv w:val="1"/>
      <w:marLeft w:val="75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ogle.com/dictionary?source=translation&amp;hl=en&amp;q=&amp;langpair=ar|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B3EDC16-16D9-4817-954B-F6FFC9595162}" type="doc">
      <dgm:prSet loTypeId="urn:microsoft.com/office/officeart/2005/8/layout/arrow2" loCatId="process" qsTypeId="urn:microsoft.com/office/officeart/2005/8/quickstyle/simple1" qsCatId="simple" csTypeId="urn:microsoft.com/office/officeart/2005/8/colors/accent0_1" csCatId="mainScheme" phldr="1"/>
      <dgm:spPr/>
      <dgm:t>
        <a:bodyPr/>
        <a:lstStyle/>
        <a:p>
          <a:endParaRPr lang="en-GB"/>
        </a:p>
      </dgm:t>
    </dgm:pt>
    <dgm:pt modelId="{039CA51F-453D-4053-AE81-E6EA5A19B0CF}">
      <dgm:prSet phldrT="[Text]"/>
      <dgm:spPr/>
      <dgm:t>
        <a:bodyPr/>
        <a:lstStyle/>
        <a:p>
          <a:pPr algn="ctr"/>
          <a:r>
            <a:rPr lang="ar-SA" dirty="0" smtClean="0">
              <a:latin typeface="Traditional Arabic" pitchFamily="18" charset="-78"/>
              <a:cs typeface="Traditional Arabic" pitchFamily="18" charset="-78"/>
            </a:rPr>
            <a:t>مرحلة الإنشاء</a:t>
          </a:r>
          <a:endParaRPr lang="en-GB" dirty="0">
            <a:latin typeface="Traditional Arabic" pitchFamily="18" charset="-78"/>
            <a:cs typeface="Traditional Arabic" pitchFamily="18" charset="-78"/>
          </a:endParaRPr>
        </a:p>
      </dgm:t>
    </dgm:pt>
    <dgm:pt modelId="{049BDFA3-B87E-4315-9B84-54FB76CFA4FB}" type="parTrans" cxnId="{86F87203-0DA8-4FE7-87ED-91905F3A2E89}">
      <dgm:prSet/>
      <dgm:spPr/>
      <dgm:t>
        <a:bodyPr/>
        <a:lstStyle/>
        <a:p>
          <a:pPr algn="ctr"/>
          <a:endParaRPr lang="en-GB"/>
        </a:p>
      </dgm:t>
    </dgm:pt>
    <dgm:pt modelId="{17617203-BA53-4430-8163-554BDFFE2209}" type="sibTrans" cxnId="{86F87203-0DA8-4FE7-87ED-91905F3A2E89}">
      <dgm:prSet/>
      <dgm:spPr/>
      <dgm:t>
        <a:bodyPr/>
        <a:lstStyle/>
        <a:p>
          <a:pPr algn="ctr"/>
          <a:endParaRPr lang="en-GB"/>
        </a:p>
      </dgm:t>
    </dgm:pt>
    <dgm:pt modelId="{B788669B-9D80-49BE-980A-0B511D5F9B08}">
      <dgm:prSet phldrT="[Text]"/>
      <dgm:spPr/>
      <dgm:t>
        <a:bodyPr/>
        <a:lstStyle/>
        <a:p>
          <a:pPr algn="ctr"/>
          <a:r>
            <a:rPr lang="ar-SA" dirty="0" smtClean="0">
              <a:latin typeface="Traditional Arabic" pitchFamily="18" charset="-78"/>
              <a:cs typeface="Traditional Arabic" pitchFamily="18" charset="-78"/>
            </a:rPr>
            <a:t>مرحلة النمو</a:t>
          </a:r>
          <a:endParaRPr lang="en-GB" dirty="0">
            <a:latin typeface="Traditional Arabic" pitchFamily="18" charset="-78"/>
            <a:cs typeface="Traditional Arabic" pitchFamily="18" charset="-78"/>
          </a:endParaRPr>
        </a:p>
      </dgm:t>
    </dgm:pt>
    <dgm:pt modelId="{E5296692-50C6-46DA-9621-392B785847F7}" type="parTrans" cxnId="{067BA4EA-3808-4528-B4F1-E61A93508A26}">
      <dgm:prSet/>
      <dgm:spPr/>
      <dgm:t>
        <a:bodyPr/>
        <a:lstStyle/>
        <a:p>
          <a:pPr algn="ctr"/>
          <a:endParaRPr lang="en-GB"/>
        </a:p>
      </dgm:t>
    </dgm:pt>
    <dgm:pt modelId="{2CB72396-647F-4CFD-BF1A-890A7D9D6D73}" type="sibTrans" cxnId="{067BA4EA-3808-4528-B4F1-E61A93508A26}">
      <dgm:prSet/>
      <dgm:spPr/>
      <dgm:t>
        <a:bodyPr/>
        <a:lstStyle/>
        <a:p>
          <a:pPr algn="ctr"/>
          <a:endParaRPr lang="en-GB"/>
        </a:p>
      </dgm:t>
    </dgm:pt>
    <dgm:pt modelId="{086C462F-8EEC-4A96-BCD9-720E42C6486E}">
      <dgm:prSet phldrT="[Text]"/>
      <dgm:spPr/>
      <dgm:t>
        <a:bodyPr/>
        <a:lstStyle/>
        <a:p>
          <a:pPr algn="ctr"/>
          <a:r>
            <a:rPr lang="ar-SA" dirty="0" smtClean="0">
              <a:latin typeface="Traditional Arabic" pitchFamily="18" charset="-78"/>
              <a:cs typeface="Traditional Arabic" pitchFamily="18" charset="-78"/>
            </a:rPr>
            <a:t>مرحلة التوسع </a:t>
          </a:r>
          <a:endParaRPr lang="en-GB" dirty="0">
            <a:latin typeface="Traditional Arabic" pitchFamily="18" charset="-78"/>
            <a:cs typeface="Traditional Arabic" pitchFamily="18" charset="-78"/>
          </a:endParaRPr>
        </a:p>
      </dgm:t>
    </dgm:pt>
    <dgm:pt modelId="{65D117B0-3D2B-4309-A9A6-4182DDCCB505}" type="parTrans" cxnId="{D071EC69-0DB3-452F-9A86-37A068686364}">
      <dgm:prSet/>
      <dgm:spPr/>
      <dgm:t>
        <a:bodyPr/>
        <a:lstStyle/>
        <a:p>
          <a:pPr algn="ctr"/>
          <a:endParaRPr lang="en-GB"/>
        </a:p>
      </dgm:t>
    </dgm:pt>
    <dgm:pt modelId="{39B50EAE-7E62-4710-90C0-C59BA2ECC460}" type="sibTrans" cxnId="{D071EC69-0DB3-452F-9A86-37A068686364}">
      <dgm:prSet/>
      <dgm:spPr/>
      <dgm:t>
        <a:bodyPr/>
        <a:lstStyle/>
        <a:p>
          <a:pPr algn="ctr"/>
          <a:endParaRPr lang="en-GB"/>
        </a:p>
      </dgm:t>
    </dgm:pt>
    <dgm:pt modelId="{EF73BB0E-80A9-4A07-A873-460BB1C12D94}">
      <dgm:prSet/>
      <dgm:spPr/>
      <dgm:t>
        <a:bodyPr/>
        <a:lstStyle/>
        <a:p>
          <a:pPr algn="ctr"/>
          <a:r>
            <a:rPr lang="ar-SA" dirty="0" smtClean="0">
              <a:latin typeface="Traditional Arabic" pitchFamily="18" charset="-78"/>
              <a:cs typeface="Traditional Arabic" pitchFamily="18" charset="-78"/>
            </a:rPr>
            <a:t>مرحلة النضج</a:t>
          </a:r>
          <a:endParaRPr lang="en-GB" dirty="0">
            <a:latin typeface="Traditional Arabic" pitchFamily="18" charset="-78"/>
            <a:cs typeface="Traditional Arabic" pitchFamily="18" charset="-78"/>
          </a:endParaRPr>
        </a:p>
      </dgm:t>
    </dgm:pt>
    <dgm:pt modelId="{2EE3CCDC-A152-43BF-9201-4FF0D410EFB5}" type="parTrans" cxnId="{43B70BDE-FE14-4CB1-9AE6-8DEBA127C08F}">
      <dgm:prSet/>
      <dgm:spPr/>
      <dgm:t>
        <a:bodyPr/>
        <a:lstStyle/>
        <a:p>
          <a:pPr algn="ctr"/>
          <a:endParaRPr lang="en-GB"/>
        </a:p>
      </dgm:t>
    </dgm:pt>
    <dgm:pt modelId="{4B9E0014-632B-41B4-9891-AEAB150487B0}" type="sibTrans" cxnId="{43B70BDE-FE14-4CB1-9AE6-8DEBA127C08F}">
      <dgm:prSet/>
      <dgm:spPr/>
      <dgm:t>
        <a:bodyPr/>
        <a:lstStyle/>
        <a:p>
          <a:pPr algn="ctr"/>
          <a:endParaRPr lang="en-GB"/>
        </a:p>
      </dgm:t>
    </dgm:pt>
    <dgm:pt modelId="{35A74322-2E41-4B92-BA04-F37708978790}" type="pres">
      <dgm:prSet presAssocID="{CB3EDC16-16D9-4817-954B-F6FFC9595162}" presName="arrowDiagram" presStyleCnt="0">
        <dgm:presLayoutVars>
          <dgm:chMax val="5"/>
          <dgm:dir/>
          <dgm:resizeHandles val="exact"/>
        </dgm:presLayoutVars>
      </dgm:prSet>
      <dgm:spPr/>
      <dgm:t>
        <a:bodyPr/>
        <a:lstStyle/>
        <a:p>
          <a:endParaRPr lang="en-GB"/>
        </a:p>
      </dgm:t>
    </dgm:pt>
    <dgm:pt modelId="{F4E148D4-B7E5-4E21-9C49-F84F3183148C}" type="pres">
      <dgm:prSet presAssocID="{CB3EDC16-16D9-4817-954B-F6FFC9595162}" presName="arrow" presStyleLbl="bgShp" presStyleIdx="0" presStyleCnt="1"/>
      <dgm:spPr/>
    </dgm:pt>
    <dgm:pt modelId="{D6D10A66-60D7-4416-B3C8-4C03890B039E}" type="pres">
      <dgm:prSet presAssocID="{CB3EDC16-16D9-4817-954B-F6FFC9595162}" presName="arrowDiagram4" presStyleCnt="0"/>
      <dgm:spPr/>
    </dgm:pt>
    <dgm:pt modelId="{F5AA46C5-B622-4331-AE05-3023C47096BA}" type="pres">
      <dgm:prSet presAssocID="{039CA51F-453D-4053-AE81-E6EA5A19B0CF}" presName="bullet4a" presStyleLbl="node1" presStyleIdx="0" presStyleCnt="4"/>
      <dgm:spPr/>
    </dgm:pt>
    <dgm:pt modelId="{DB44FBF2-CAD1-4789-B228-22B2835B63E4}" type="pres">
      <dgm:prSet presAssocID="{039CA51F-453D-4053-AE81-E6EA5A19B0CF}" presName="textBox4a" presStyleLbl="revTx" presStyleIdx="0" presStyleCnt="4">
        <dgm:presLayoutVars>
          <dgm:bulletEnabled val="1"/>
        </dgm:presLayoutVars>
      </dgm:prSet>
      <dgm:spPr/>
      <dgm:t>
        <a:bodyPr/>
        <a:lstStyle/>
        <a:p>
          <a:endParaRPr lang="en-GB"/>
        </a:p>
      </dgm:t>
    </dgm:pt>
    <dgm:pt modelId="{54388B38-FE44-4C42-A751-6059D3127553}" type="pres">
      <dgm:prSet presAssocID="{B788669B-9D80-49BE-980A-0B511D5F9B08}" presName="bullet4b" presStyleLbl="node1" presStyleIdx="1" presStyleCnt="4"/>
      <dgm:spPr/>
    </dgm:pt>
    <dgm:pt modelId="{7D86CE2E-2D7F-4401-AAE3-09540E145875}" type="pres">
      <dgm:prSet presAssocID="{B788669B-9D80-49BE-980A-0B511D5F9B08}" presName="textBox4b" presStyleLbl="revTx" presStyleIdx="1" presStyleCnt="4">
        <dgm:presLayoutVars>
          <dgm:bulletEnabled val="1"/>
        </dgm:presLayoutVars>
      </dgm:prSet>
      <dgm:spPr/>
      <dgm:t>
        <a:bodyPr/>
        <a:lstStyle/>
        <a:p>
          <a:endParaRPr lang="en-GB"/>
        </a:p>
      </dgm:t>
    </dgm:pt>
    <dgm:pt modelId="{72AB3029-1132-4A49-9F6E-D0ABFFB7D974}" type="pres">
      <dgm:prSet presAssocID="{086C462F-8EEC-4A96-BCD9-720E42C6486E}" presName="bullet4c" presStyleLbl="node1" presStyleIdx="2" presStyleCnt="4"/>
      <dgm:spPr/>
    </dgm:pt>
    <dgm:pt modelId="{D67D94F9-C203-4B1D-8513-A920EF9E0DE8}" type="pres">
      <dgm:prSet presAssocID="{086C462F-8EEC-4A96-BCD9-720E42C6486E}" presName="textBox4c" presStyleLbl="revTx" presStyleIdx="2" presStyleCnt="4">
        <dgm:presLayoutVars>
          <dgm:bulletEnabled val="1"/>
        </dgm:presLayoutVars>
      </dgm:prSet>
      <dgm:spPr/>
      <dgm:t>
        <a:bodyPr/>
        <a:lstStyle/>
        <a:p>
          <a:endParaRPr lang="en-GB"/>
        </a:p>
      </dgm:t>
    </dgm:pt>
    <dgm:pt modelId="{6758503E-496C-4311-941A-FCC05AC76E4D}" type="pres">
      <dgm:prSet presAssocID="{EF73BB0E-80A9-4A07-A873-460BB1C12D94}" presName="bullet4d" presStyleLbl="node1" presStyleIdx="3" presStyleCnt="4"/>
      <dgm:spPr/>
    </dgm:pt>
    <dgm:pt modelId="{B35B5B78-FF17-4C00-98BC-323285F5CB6E}" type="pres">
      <dgm:prSet presAssocID="{EF73BB0E-80A9-4A07-A873-460BB1C12D94}" presName="textBox4d" presStyleLbl="revTx" presStyleIdx="3" presStyleCnt="4">
        <dgm:presLayoutVars>
          <dgm:bulletEnabled val="1"/>
        </dgm:presLayoutVars>
      </dgm:prSet>
      <dgm:spPr/>
      <dgm:t>
        <a:bodyPr/>
        <a:lstStyle/>
        <a:p>
          <a:endParaRPr lang="en-GB"/>
        </a:p>
      </dgm:t>
    </dgm:pt>
  </dgm:ptLst>
  <dgm:cxnLst>
    <dgm:cxn modelId="{497BDBDE-BE9F-46EB-AE9C-E093FB6AA75B}" type="presOf" srcId="{EF73BB0E-80A9-4A07-A873-460BB1C12D94}" destId="{B35B5B78-FF17-4C00-98BC-323285F5CB6E}" srcOrd="0" destOrd="0" presId="urn:microsoft.com/office/officeart/2005/8/layout/arrow2"/>
    <dgm:cxn modelId="{B151304F-2321-43EA-9C46-F10A6D897211}" type="presOf" srcId="{086C462F-8EEC-4A96-BCD9-720E42C6486E}" destId="{D67D94F9-C203-4B1D-8513-A920EF9E0DE8}" srcOrd="0" destOrd="0" presId="urn:microsoft.com/office/officeart/2005/8/layout/arrow2"/>
    <dgm:cxn modelId="{F86973B9-004A-42C7-AC27-442927F9D022}" type="presOf" srcId="{039CA51F-453D-4053-AE81-E6EA5A19B0CF}" destId="{DB44FBF2-CAD1-4789-B228-22B2835B63E4}" srcOrd="0" destOrd="0" presId="urn:microsoft.com/office/officeart/2005/8/layout/arrow2"/>
    <dgm:cxn modelId="{43B70BDE-FE14-4CB1-9AE6-8DEBA127C08F}" srcId="{CB3EDC16-16D9-4817-954B-F6FFC9595162}" destId="{EF73BB0E-80A9-4A07-A873-460BB1C12D94}" srcOrd="3" destOrd="0" parTransId="{2EE3CCDC-A152-43BF-9201-4FF0D410EFB5}" sibTransId="{4B9E0014-632B-41B4-9891-AEAB150487B0}"/>
    <dgm:cxn modelId="{86F87203-0DA8-4FE7-87ED-91905F3A2E89}" srcId="{CB3EDC16-16D9-4817-954B-F6FFC9595162}" destId="{039CA51F-453D-4053-AE81-E6EA5A19B0CF}" srcOrd="0" destOrd="0" parTransId="{049BDFA3-B87E-4315-9B84-54FB76CFA4FB}" sibTransId="{17617203-BA53-4430-8163-554BDFFE2209}"/>
    <dgm:cxn modelId="{6F84E63A-8BC4-4A16-9872-924590A2011C}" type="presOf" srcId="{B788669B-9D80-49BE-980A-0B511D5F9B08}" destId="{7D86CE2E-2D7F-4401-AAE3-09540E145875}" srcOrd="0" destOrd="0" presId="urn:microsoft.com/office/officeart/2005/8/layout/arrow2"/>
    <dgm:cxn modelId="{067BA4EA-3808-4528-B4F1-E61A93508A26}" srcId="{CB3EDC16-16D9-4817-954B-F6FFC9595162}" destId="{B788669B-9D80-49BE-980A-0B511D5F9B08}" srcOrd="1" destOrd="0" parTransId="{E5296692-50C6-46DA-9621-392B785847F7}" sibTransId="{2CB72396-647F-4CFD-BF1A-890A7D9D6D73}"/>
    <dgm:cxn modelId="{D071EC69-0DB3-452F-9A86-37A068686364}" srcId="{CB3EDC16-16D9-4817-954B-F6FFC9595162}" destId="{086C462F-8EEC-4A96-BCD9-720E42C6486E}" srcOrd="2" destOrd="0" parTransId="{65D117B0-3D2B-4309-A9A6-4182DDCCB505}" sibTransId="{39B50EAE-7E62-4710-90C0-C59BA2ECC460}"/>
    <dgm:cxn modelId="{0FC3D4EC-8679-4E24-984D-1C13D83FB3D4}" type="presOf" srcId="{CB3EDC16-16D9-4817-954B-F6FFC9595162}" destId="{35A74322-2E41-4B92-BA04-F37708978790}" srcOrd="0" destOrd="0" presId="urn:microsoft.com/office/officeart/2005/8/layout/arrow2"/>
    <dgm:cxn modelId="{A82E694F-48F0-4420-9D2B-C5F5D6A967A5}" type="presParOf" srcId="{35A74322-2E41-4B92-BA04-F37708978790}" destId="{F4E148D4-B7E5-4E21-9C49-F84F3183148C}" srcOrd="0" destOrd="0" presId="urn:microsoft.com/office/officeart/2005/8/layout/arrow2"/>
    <dgm:cxn modelId="{7D9D0A03-EBCF-4B2E-A1E9-2BB982464DC1}" type="presParOf" srcId="{35A74322-2E41-4B92-BA04-F37708978790}" destId="{D6D10A66-60D7-4416-B3C8-4C03890B039E}" srcOrd="1" destOrd="0" presId="urn:microsoft.com/office/officeart/2005/8/layout/arrow2"/>
    <dgm:cxn modelId="{6D3F33FF-3A76-40B8-97E3-A07941C385FD}" type="presParOf" srcId="{D6D10A66-60D7-4416-B3C8-4C03890B039E}" destId="{F5AA46C5-B622-4331-AE05-3023C47096BA}" srcOrd="0" destOrd="0" presId="urn:microsoft.com/office/officeart/2005/8/layout/arrow2"/>
    <dgm:cxn modelId="{E8DD3497-0194-410A-855F-8036FA952767}" type="presParOf" srcId="{D6D10A66-60D7-4416-B3C8-4C03890B039E}" destId="{DB44FBF2-CAD1-4789-B228-22B2835B63E4}" srcOrd="1" destOrd="0" presId="urn:microsoft.com/office/officeart/2005/8/layout/arrow2"/>
    <dgm:cxn modelId="{92D9F322-7462-41EE-85B2-DD6F5CC8D061}" type="presParOf" srcId="{D6D10A66-60D7-4416-B3C8-4C03890B039E}" destId="{54388B38-FE44-4C42-A751-6059D3127553}" srcOrd="2" destOrd="0" presId="urn:microsoft.com/office/officeart/2005/8/layout/arrow2"/>
    <dgm:cxn modelId="{F7AA339D-CD70-4472-BD08-65020C1E1392}" type="presParOf" srcId="{D6D10A66-60D7-4416-B3C8-4C03890B039E}" destId="{7D86CE2E-2D7F-4401-AAE3-09540E145875}" srcOrd="3" destOrd="0" presId="urn:microsoft.com/office/officeart/2005/8/layout/arrow2"/>
    <dgm:cxn modelId="{E074CCDF-C54F-476C-B0C3-B1F891611E6E}" type="presParOf" srcId="{D6D10A66-60D7-4416-B3C8-4C03890B039E}" destId="{72AB3029-1132-4A49-9F6E-D0ABFFB7D974}" srcOrd="4" destOrd="0" presId="urn:microsoft.com/office/officeart/2005/8/layout/arrow2"/>
    <dgm:cxn modelId="{5987378C-0137-42B9-87E1-6203DC65503C}" type="presParOf" srcId="{D6D10A66-60D7-4416-B3C8-4C03890B039E}" destId="{D67D94F9-C203-4B1D-8513-A920EF9E0DE8}" srcOrd="5" destOrd="0" presId="urn:microsoft.com/office/officeart/2005/8/layout/arrow2"/>
    <dgm:cxn modelId="{2147B244-7EC8-4C74-857C-5605A9DF8634}" type="presParOf" srcId="{D6D10A66-60D7-4416-B3C8-4C03890B039E}" destId="{6758503E-496C-4311-941A-FCC05AC76E4D}" srcOrd="6" destOrd="0" presId="urn:microsoft.com/office/officeart/2005/8/layout/arrow2"/>
    <dgm:cxn modelId="{9EADCEE6-1852-4737-8545-C4FAF585B049}" type="presParOf" srcId="{D6D10A66-60D7-4416-B3C8-4C03890B039E}" destId="{B35B5B78-FF17-4C00-98BC-323285F5CB6E}" srcOrd="7" destOrd="0" presId="urn:microsoft.com/office/officeart/2005/8/layout/arrow2"/>
  </dgm:cxnLst>
  <dgm:bg/>
  <dgm:whole>
    <a:ln>
      <a:solidFill>
        <a:schemeClr val="accent1"/>
      </a:solidFill>
    </a:ln>
  </dgm:whole>
</dgm:dataModel>
</file>

<file path=word/diagrams/layout1.xml><?xml version="1.0" encoding="utf-8"?>
<dgm:layoutDef xmlns:dgm="http://schemas.openxmlformats.org/drawingml/2006/diagram" xmlns:a="http://schemas.openxmlformats.org/drawingml/2006/main" uniqueId="urn:microsoft.com/office/officeart/2005/8/layout/arrow2">
  <dgm:title val=""/>
  <dgm:desc val=""/>
  <dgm:catLst>
    <dgm:cat type="process" pri="2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arrowDiagram">
    <dgm:varLst>
      <dgm:chMax val="5"/>
      <dgm:dir/>
      <dgm:resizeHandles val="exact"/>
    </dgm:varLst>
    <dgm:alg type="composite">
      <dgm:param type="ar" val="1.6"/>
    </dgm:alg>
    <dgm:shape xmlns:r="http://schemas.openxmlformats.org/officeDocument/2006/relationships" r:blip="">
      <dgm:adjLst/>
    </dgm:shape>
    <dgm:presOf/>
    <dgm:constrLst>
      <dgm:constr type="l" for="ch" forName="arrow"/>
      <dgm:constr type="t" for="ch" forName="arrow"/>
      <dgm:constr type="w" for="ch" forName="arrow" refType="w"/>
      <dgm:constr type="h" for="ch" forName="arrow" refType="h"/>
      <dgm:constr type="ctrX" for="ch" forName="arrowDiagram1" refType="w" fact="0.5"/>
      <dgm:constr type="ctrY" for="ch" forName="arrowDiagram1" refType="h" fact="0.5"/>
      <dgm:constr type="w" for="ch" forName="arrowDiagram1" refType="w"/>
      <dgm:constr type="h" for="ch" forName="arrowDiagram1" refType="h"/>
      <dgm:constr type="ctrX" for="ch" forName="arrowDiagram2" refType="w" fact="0.5"/>
      <dgm:constr type="ctrY" for="ch" forName="arrowDiagram2" refType="h" fact="0.5"/>
      <dgm:constr type="w" for="ch" forName="arrowDiagram2" refType="w"/>
      <dgm:constr type="h" for="ch" forName="arrowDiagram2" refType="h"/>
      <dgm:constr type="ctrX" for="ch" forName="arrowDiagram3" refType="w" fact="0.5"/>
      <dgm:constr type="ctrY" for="ch" forName="arrowDiagram3" refType="h" fact="0.5"/>
      <dgm:constr type="w" for="ch" forName="arrowDiagram3" refType="w"/>
      <dgm:constr type="h" for="ch" forName="arrowDiagram3" refType="h"/>
      <dgm:constr type="ctrX" for="ch" forName="arrowDiagram4" refType="w" fact="0.5"/>
      <dgm:constr type="ctrY" for="ch" forName="arrowDiagram4" refType="h" fact="0.5"/>
      <dgm:constr type="w" for="ch" forName="arrowDiagram4" refType="w"/>
      <dgm:constr type="h" for="ch" forName="arrowDiagram4" refType="h"/>
      <dgm:constr type="ctrX" for="ch" forName="arrowDiagram5" refType="w" fact="0.5"/>
      <dgm:constr type="ctrY" for="ch" forName="arrowDiagram5" refType="h" fact="0.5"/>
      <dgm:constr type="w" for="ch" forName="arrowDiagram5" refType="w"/>
      <dgm:constr type="h" for="ch" forName="arrowDiagram5" refType="h"/>
    </dgm:constrLst>
    <dgm:ruleLst/>
    <dgm:choose name="Name0">
      <dgm:if name="Name1" axis="ch" ptType="node" func="cnt" op="gte" val="1">
        <dgm:layoutNode name="arrow" styleLbl="bgShp">
          <dgm:alg type="sp"/>
          <dgm:shape xmlns:r="http://schemas.openxmlformats.org/officeDocument/2006/relationships" type="swooshArrow" r:blip="">
            <dgm:adjLst>
              <dgm:adj idx="2" val="0.25"/>
            </dgm:adjLst>
          </dgm:shape>
          <dgm:presOf/>
          <dgm:constrLst/>
          <dgm:ruleLst/>
        </dgm:layoutNode>
        <dgm:choose name="Name2">
          <dgm:if name="Name3" axis="ch" ptType="node" func="cnt" op="lt" val="1"/>
          <dgm:if name="Name4" axis="ch" ptType="node" func="cnt" op="equ" val="1">
            <dgm:layoutNode name="arrowDiagram1">
              <dgm:varLst>
                <dgm:bulletEnabled val="1"/>
              </dgm:varLst>
              <dgm:alg type="composite">
                <dgm:param type="vertAlign" val="none"/>
                <dgm:param type="horzAlign" val="none"/>
              </dgm:alg>
              <dgm:shape xmlns:r="http://schemas.openxmlformats.org/officeDocument/2006/relationships" r:blip="">
                <dgm:adjLst/>
              </dgm:shape>
              <dgm:presOf/>
              <dgm:constrLst>
                <dgm:constr type="ctrX" for="ch" forName="bullet1" refType="w" fact="0.8"/>
                <dgm:constr type="ctrY" for="ch" forName="bullet1" refType="h" fact="0.262"/>
                <dgm:constr type="w" for="ch" forName="bullet1" refType="w" fact="0.074"/>
                <dgm:constr type="h" for="ch" forName="bullet1" refType="w" refFor="ch" refForName="bullet1"/>
                <dgm:constr type="r" for="ch" forName="textBox1" refType="ctrX" refFor="ch" refForName="bullet1"/>
                <dgm:constr type="t" for="ch" forName="textBox1" refType="ctrY" refFor="ch" refForName="bullet1"/>
                <dgm:constr type="w" for="ch" forName="textBox1" refType="w" fact="0.4"/>
                <dgm:constr type="h" for="ch" forName="textBox1" refType="h" fact="0.738"/>
                <dgm:constr type="userA" refType="h" refFor="ch" refForName="bullet1" fact="0.53"/>
                <dgm:constr type="rMarg" for="ch" forName="textBox1" refType="userA" fact="2.834"/>
                <dgm:constr type="primFontSz" for="ch" ptType="node" op="equ" val="65"/>
              </dgm:constrLst>
              <dgm:ruleLst/>
              <dgm:forEach name="Name5" axis="ch" ptType="node" cnt="1">
                <dgm:layoutNode name="bullet1" styleLbl="node1">
                  <dgm:alg type="sp"/>
                  <dgm:shape xmlns:r="http://schemas.openxmlformats.org/officeDocument/2006/relationships" type="ellipse" r:blip="">
                    <dgm:adjLst/>
                  </dgm:shape>
                  <dgm:presOf/>
                  <dgm:constrLst/>
                  <dgm:ruleLst/>
                </dgm:layoutNode>
                <dgm:layoutNode name="textBox1" styleLbl="revTx">
                  <dgm:varLst>
                    <dgm:bulletEnabled val="1"/>
                  </dgm:varLst>
                  <dgm:alg type="tx">
                    <dgm:param type="txAnchorVert" val="t"/>
                    <dgm:param type="parTxLTRAlign" val="r"/>
                    <dgm:param type="parTxRTLAlign" val="r"/>
                  </dgm:alg>
                  <dgm:shape xmlns:r="http://schemas.openxmlformats.org/officeDocument/2006/relationships" type="round2DiagRect" r:blip="">
                    <dgm:adjLst/>
                  </dgm:shape>
                  <dgm:presOf axis="desOrSelf" ptType="node"/>
                  <dgm:constrLst>
                    <dgm:constr type="lMarg"/>
                    <dgm:constr type="tMarg"/>
                    <dgm:constr type="bMarg"/>
                  </dgm:constrLst>
                  <dgm:ruleLst>
                    <dgm:rule type="primFontSz" val="5" fact="NaN" max="NaN"/>
                  </dgm:ruleLst>
                </dgm:layoutNode>
              </dgm:forEach>
            </dgm:layoutNode>
          </dgm:if>
          <dgm:if name="Name6" axis="ch" ptType="node" func="cnt" op="equ" val="2">
            <dgm:layoutNode name="arrowDiagram2">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ctrX" for="ch" forName="bullet2a" refType="w" fact="0.25"/>
                    <dgm:constr type="ctrY" for="ch" forName="bullet2a" refType="h" fact="0.573"/>
                    <dgm:constr type="w" for="ch" forName="bullet2a" refType="w" fact="0.035"/>
                    <dgm:constr type="h" for="ch" forName="bullet2a" refType="w" refFor="ch" refForName="bullet2a"/>
                    <dgm:constr type="l" for="ch" forName="textBox2a" refType="ctrX" refFor="ch" refForName="bullet2a"/>
                    <dgm:constr type="t" for="ch" forName="textBox2a" refType="ctrY" refFor="ch" refForName="bullet2a"/>
                    <dgm:constr type="w" for="ch" forName="textBox2a" refType="w" fact="0.325"/>
                    <dgm:constr type="h" for="ch" forName="textBox2a" refType="h" fact="0.427"/>
                    <dgm:constr type="userA" refType="h" refFor="ch" refForName="bullet2a" fact="0.53"/>
                    <dgm:constr type="l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l" for="ch" forName="textBox2b" refType="ctrX" refFor="ch" refForName="bullet2b"/>
                    <dgm:constr type="t" for="ch" forName="textBox2b" refType="ctrY" refFor="ch" refForName="bullet2b"/>
                    <dgm:constr type="w" for="ch" forName="textBox2b" refType="w" fact="0.325"/>
                    <dgm:constr type="h" for="ch" forName="textBox2b" refType="h" fact="0.662"/>
                    <dgm:constr type="userB" refType="h" refFor="ch" refForName="bullet2b" fact="0.53"/>
                    <dgm:constr type="lMarg" for="ch" forName="textBox2b" refType="userB" fact="2.834"/>
                    <dgm:constr type="primFontSz" for="ch" ptType="node" op="equ" val="65"/>
                  </dgm:constrLst>
                </dgm:if>
                <dgm:else name="Name9">
                  <dgm:constrLst>
                    <dgm:constr type="ctrX" for="ch" forName="bullet2a" refType="w" fact="0.25"/>
                    <dgm:constr type="ctrY" for="ch" forName="bullet2a" refType="h" fact="0.573"/>
                    <dgm:constr type="w" for="ch" forName="bullet2a" refType="w" fact="0.035"/>
                    <dgm:constr type="h" for="ch" forName="bullet2a" refType="w" refFor="ch" refForName="bullet2a"/>
                    <dgm:constr type="r" for="ch" forName="textBox2a" refType="ctrX" refFor="ch" refForName="bullet2a"/>
                    <dgm:constr type="b" for="ch" forName="textBox2a" refType="ctrY" refFor="ch" refForName="bullet2a"/>
                    <dgm:constr type="w" for="ch" forName="textBox2a" refType="w" fact="0.25"/>
                    <dgm:constr type="h" for="ch" forName="textBox2a" refType="h" fact="0.573"/>
                    <dgm:constr type="userA" refType="h" refFor="ch" refForName="bullet2a" fact="0.53"/>
                    <dgm:constr type="rMarg" for="ch" forName="textBox2a" refType="userA" fact="2.834"/>
                    <dgm:constr type="ctrX" for="ch" forName="bullet2b" refType="w" fact="0.585"/>
                    <dgm:constr type="ctrY" for="ch" forName="bullet2b" refType="h" fact="0.338"/>
                    <dgm:constr type="w" for="ch" forName="bullet2b" refType="w" fact="0.06"/>
                    <dgm:constr type="h" for="ch" forName="bullet2b" refType="w" refFor="ch" refForName="bullet2b"/>
                    <dgm:constr type="r" for="ch" forName="textBox2b" refType="ctrX" refFor="ch" refForName="bullet2b"/>
                    <dgm:constr type="b" for="ch" forName="textBox2b" refType="ctrY" refFor="ch" refForName="bullet2b"/>
                    <dgm:constr type="w" for="ch" forName="textBox2b" refType="w" fact="0.28"/>
                    <dgm:constr type="h" for="ch" forName="textBox2b" refType="h" fact="0.338"/>
                    <dgm:constr type="userB" refType="h" refFor="ch" refForName="bullet2b" fact="0.53"/>
                    <dgm:constr type="rMarg" for="ch" forName="textBox2b" refType="userB" fact="2.834"/>
                    <dgm:constr type="primFontSz" for="ch" ptType="node" op="equ" val="65"/>
                  </dgm:constrLst>
                </dgm:else>
              </dgm:choose>
              <dgm:ruleLst/>
              <dgm:forEach name="Name10" axis="ch" ptType="node" cnt="1">
                <dgm:layoutNode name="bullet2a" styleLbl="node1">
                  <dgm:alg type="sp"/>
                  <dgm:shape xmlns:r="http://schemas.openxmlformats.org/officeDocument/2006/relationships" type="ellipse" r:blip="">
                    <dgm:adjLst/>
                  </dgm:shape>
                  <dgm:presOf/>
                  <dgm:constrLst/>
                  <dgm:ruleLst/>
                </dgm:layoutNode>
                <dgm:layoutNode name="textBox2a" styleLbl="revTx">
                  <dgm:varLst>
                    <dgm:bulletEnabled val="1"/>
                  </dgm:varLst>
                  <dgm:choose name="Name11">
                    <dgm:if name="Name12" func="var" arg="dir" op="equ" val="norm">
                      <dgm:choose name="Name13">
                        <dgm:if name="Name14" axis="root des" ptType="all node" func="maxDepth" op="gt" val="1">
                          <dgm:alg type="tx">
                            <dgm:param type="txAnchorVert" val="t"/>
                            <dgm:param type="parTxLTRAlign" val="l"/>
                            <dgm:param type="parTxRTLAlign" val="r"/>
                          </dgm:alg>
                        </dgm:if>
                        <dgm:else name="Name15">
                          <dgm:alg type="tx">
                            <dgm:param type="txAnchorVert" val="t"/>
                            <dgm:param type="parTxLTRAlign" val="l"/>
                            <dgm:param type="parTxRTLAlign" val="l"/>
                          </dgm:alg>
                        </dgm:else>
                      </dgm:choose>
                    </dgm:if>
                    <dgm:else name="Name16">
                      <dgm:choose name="Name17">
                        <dgm:if name="Name18" axis="root des" ptType="all node" func="maxDepth" op="gt" val="1">
                          <dgm:alg type="tx">
                            <dgm:param type="txAnchorVert" val="b"/>
                            <dgm:param type="txAnchorVertCh" val="b"/>
                            <dgm:param type="parTxLTRAlign" val="l"/>
                            <dgm:param type="parTxRTLAlign" val="r"/>
                          </dgm:alg>
                        </dgm:if>
                        <dgm:else name="Name1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
                    <dgm:if name="Name21" func="var" arg="dir" op="equ" val="norm">
                      <dgm:constrLst>
                        <dgm:constr type="rMarg"/>
                        <dgm:constr type="tMarg"/>
                        <dgm:constr type="bMarg"/>
                      </dgm:constrLst>
                    </dgm:if>
                    <dgm:else name="Name22">
                      <dgm:constrLst>
                        <dgm:constr type="lMarg"/>
                        <dgm:constr type="tMarg"/>
                        <dgm:constr type="bMarg"/>
                      </dgm:constrLst>
                    </dgm:else>
                  </dgm:choose>
                  <dgm:ruleLst>
                    <dgm:rule type="primFontSz" val="5" fact="NaN" max="NaN"/>
                  </dgm:ruleLst>
                </dgm:layoutNode>
              </dgm:forEach>
              <dgm:forEach name="Name23" axis="ch" ptType="node" st="2" cnt="1">
                <dgm:layoutNode name="bullet2b" styleLbl="node1">
                  <dgm:alg type="sp"/>
                  <dgm:shape xmlns:r="http://schemas.openxmlformats.org/officeDocument/2006/relationships" type="ellipse" r:blip="">
                    <dgm:adjLst/>
                  </dgm:shape>
                  <dgm:presOf/>
                  <dgm:constrLst/>
                  <dgm:ruleLst/>
                </dgm:layoutNode>
                <dgm:layoutNode name="textBox2b" styleLbl="revTx">
                  <dgm:varLst>
                    <dgm:bulletEnabled val="1"/>
                  </dgm:varLst>
                  <dgm:choose name="Name24">
                    <dgm:if name="Name25" func="var" arg="dir" op="equ" val="norm">
                      <dgm:choose name="Name26">
                        <dgm:if name="Name27" axis="root des" ptType="all node" func="maxDepth" op="gt" val="1">
                          <dgm:alg type="tx">
                            <dgm:param type="txAnchorVert" val="t"/>
                            <dgm:param type="parTxLTRAlign" val="l"/>
                            <dgm:param type="parTxRTLAlign" val="r"/>
                          </dgm:alg>
                        </dgm:if>
                        <dgm:else name="Name28">
                          <dgm:alg type="tx">
                            <dgm:param type="txAnchorVert" val="t"/>
                            <dgm:param type="parTxLTRAlign" val="l"/>
                            <dgm:param type="parTxRTLAlign" val="l"/>
                          </dgm:alg>
                        </dgm:else>
                      </dgm:choose>
                    </dgm:if>
                    <dgm:else name="Name29">
                      <dgm:choose name="Name30">
                        <dgm:if name="Name31" axis="root des" ptType="all node" func="maxDepth" op="gt" val="1">
                          <dgm:alg type="tx">
                            <dgm:param type="txAnchorVert" val="b"/>
                            <dgm:param type="txAnchorVertCh" val="b"/>
                            <dgm:param type="parTxLTRAlign" val="l"/>
                            <dgm:param type="parTxRTLAlign" val="r"/>
                          </dgm:alg>
                        </dgm:if>
                        <dgm:else name="Name3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33">
                    <dgm:if name="Name34" func="var" arg="dir" op="equ" val="norm">
                      <dgm:constrLst>
                        <dgm:constr type="rMarg"/>
                        <dgm:constr type="tMarg"/>
                        <dgm:constr type="bMarg"/>
                      </dgm:constrLst>
                    </dgm:if>
                    <dgm:else name="Name35">
                      <dgm:constrLst>
                        <dgm:constr type="lMarg"/>
                        <dgm:constr type="tMarg"/>
                        <dgm:constr type="bMarg"/>
                      </dgm:constrLst>
                    </dgm:else>
                  </dgm:choose>
                  <dgm:ruleLst>
                    <dgm:rule type="primFontSz" val="5" fact="NaN" max="NaN"/>
                  </dgm:ruleLst>
                </dgm:layoutNode>
              </dgm:forEach>
            </dgm:layoutNode>
          </dgm:if>
          <dgm:if name="Name36" axis="ch" ptType="node" func="cnt" op="equ" val="3">
            <dgm:layoutNode name="arrowDiagram3">
              <dgm:alg type="composite">
                <dgm:param type="vertAlign" val="none"/>
                <dgm:param type="horzAlign" val="none"/>
              </dgm:alg>
              <dgm:shape xmlns:r="http://schemas.openxmlformats.org/officeDocument/2006/relationships" r:blip="">
                <dgm:adjLst/>
              </dgm:shape>
              <dgm:presOf/>
              <dgm:choose name="Name37">
                <dgm:if name="Name38" func="var" arg="dir" op="equ" val="norm">
                  <dgm:constrLst>
                    <dgm:constr type="ctrX" for="ch" forName="bullet3a" refType="w" fact="0.14"/>
                    <dgm:constr type="ctrY" for="ch" forName="bullet3a" refType="h" fact="0.711"/>
                    <dgm:constr type="w" for="ch" forName="bullet3a" refType="w" fact="0.026"/>
                    <dgm:constr type="h" for="ch" forName="bullet3a" refType="w" refFor="ch" refForName="bullet3a"/>
                    <dgm:constr type="l" for="ch" forName="textBox3a" refType="ctrX" refFor="ch" refForName="bullet3a"/>
                    <dgm:constr type="t" for="ch" forName="textBox3a" refType="ctrY" refFor="ch" refForName="bullet3a"/>
                    <dgm:constr type="w" for="ch" forName="textBox3a" refType="w" fact="0.233"/>
                    <dgm:constr type="h" for="ch" forName="textBox3a" refType="h" fact="0.289"/>
                    <dgm:constr type="userA" refType="h" refFor="ch" refForName="bullet3a" fact="0.53"/>
                    <dgm:constr type="l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l" for="ch" forName="textBox3b" refType="ctrX" refFor="ch" refForName="bullet3b"/>
                    <dgm:constr type="t" for="ch" forName="textBox3b" refType="ctrY" refFor="ch" refForName="bullet3b"/>
                    <dgm:constr type="w" for="ch" forName="textBox3b" refType="w" fact="0.24"/>
                    <dgm:constr type="h" for="ch" forName="textBox3b" refType="h" fact="0.544"/>
                    <dgm:constr type="userB" refType="h" refFor="ch" refForName="bullet3b" fact="0.53"/>
                    <dgm:constr type="l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l" for="ch" forName="textBox3c" refType="ctrX" refFor="ch" refForName="bullet3c"/>
                    <dgm:constr type="t" for="ch" forName="textBox3c" refType="ctrY" refFor="ch" refForName="bullet3c"/>
                    <dgm:constr type="w" for="ch" forName="textBox3c" refType="w" fact="0.24"/>
                    <dgm:constr type="h" for="ch" forName="textBox3c" refType="h" fact="0.695"/>
                    <dgm:constr type="userC" refType="h" refFor="ch" refForName="bullet3c" fact="0.53"/>
                    <dgm:constr type="lMarg" for="ch" forName="textBox3c" refType="userC" fact="2.834"/>
                    <dgm:constr type="primFontSz" for="ch" ptType="node" op="equ" val="65"/>
                  </dgm:constrLst>
                </dgm:if>
                <dgm:else name="Name39">
                  <dgm:constrLst>
                    <dgm:constr type="ctrX" for="ch" forName="bullet3a" refType="w" fact="0.14"/>
                    <dgm:constr type="ctrY" for="ch" forName="bullet3a" refType="h" fact="0.711"/>
                    <dgm:constr type="w" for="ch" forName="bullet3a" refType="w" fact="0.026"/>
                    <dgm:constr type="h" for="ch" forName="bullet3a" refType="w" refFor="ch" refForName="bullet3a"/>
                    <dgm:constr type="r" for="ch" forName="textBox3a" refType="ctrX" refFor="ch" refForName="bullet3a"/>
                    <dgm:constr type="b" for="ch" forName="textBox3a" refType="ctrY" refFor="ch" refForName="bullet3a"/>
                    <dgm:constr type="w" for="ch" forName="textBox3a" refType="w" fact="0.14"/>
                    <dgm:constr type="h" for="ch" forName="textBox3a" refType="h" fact="0.711"/>
                    <dgm:constr type="userA" refType="h" refFor="ch" refForName="bullet3a" fact="0.53"/>
                    <dgm:constr type="rMarg" for="ch" forName="textBox3a" refType="userA" fact="2.834"/>
                    <dgm:constr type="ctrX" for="ch" forName="bullet3b" refType="w" fact="0.38"/>
                    <dgm:constr type="ctrY" for="ch" forName="bullet3b" refType="h" fact="0.456"/>
                    <dgm:constr type="w" for="ch" forName="bullet3b" refType="w" fact="0.047"/>
                    <dgm:constr type="h" for="ch" forName="bullet3b" refType="w" refFor="ch" refForName="bullet3b"/>
                    <dgm:constr type="r" for="ch" forName="textBox3b" refType="ctrX" refFor="ch" refForName="bullet3b"/>
                    <dgm:constr type="b" for="ch" forName="textBox3b" refType="ctrY" refFor="ch" refForName="bullet3b"/>
                    <dgm:constr type="w" for="ch" forName="textBox3b" refType="w" fact="0.24"/>
                    <dgm:constr type="h" for="ch" forName="textBox3b" refType="h" fact="0.456"/>
                    <dgm:constr type="userB" refType="h" refFor="ch" refForName="bullet3b" fact="0.53"/>
                    <dgm:constr type="rMarg" for="ch" forName="textBox3b" refType="userB" fact="2.834"/>
                    <dgm:constr type="ctrX" for="ch" forName="bullet3c" refType="w" fact="0.665"/>
                    <dgm:constr type="ctrY" for="ch" forName="bullet3c" refType="h" fact="0.305"/>
                    <dgm:constr type="w" for="ch" forName="bullet3c" refType="w" fact="0.065"/>
                    <dgm:constr type="h" for="ch" forName="bullet3c" refType="w" refFor="ch" refForName="bullet3c"/>
                    <dgm:constr type="r" for="ch" forName="textBox3c" refType="ctrX" refFor="ch" refForName="bullet3c"/>
                    <dgm:constr type="b" for="ch" forName="textBox3c" refType="ctrY" refFor="ch" refForName="bullet3c"/>
                    <dgm:constr type="w" for="ch" forName="textBox3c" refType="w" fact="0.24"/>
                    <dgm:constr type="h" for="ch" forName="textBox3c" refType="h" fact="0.305"/>
                    <dgm:constr type="userC" refType="h" refFor="ch" refForName="bullet3c" fact="0.53"/>
                    <dgm:constr type="rMarg" for="ch" forName="textBox3c" refType="userC" fact="2.834"/>
                    <dgm:constr type="primFontSz" for="ch" ptType="node" op="equ" val="65"/>
                  </dgm:constrLst>
                </dgm:else>
              </dgm:choose>
              <dgm:ruleLst/>
              <dgm:forEach name="Name40" axis="ch" ptType="node" cnt="1">
                <dgm:layoutNode name="bullet3a" styleLbl="node1">
                  <dgm:alg type="sp"/>
                  <dgm:shape xmlns:r="http://schemas.openxmlformats.org/officeDocument/2006/relationships" type="ellipse" r:blip="">
                    <dgm:adjLst/>
                  </dgm:shape>
                  <dgm:presOf/>
                  <dgm:constrLst/>
                  <dgm:ruleLst/>
                </dgm:layoutNode>
                <dgm:layoutNode name="textBox3a" styleLbl="revTx">
                  <dgm:varLst>
                    <dgm:bulletEnabled val="1"/>
                  </dgm:varLst>
                  <dgm:choose name="Name41">
                    <dgm:if name="Name42" func="var" arg="dir" op="equ" val="norm">
                      <dgm:choose name="Name43">
                        <dgm:if name="Name44" axis="root des" ptType="all node" func="maxDepth" op="gt" val="1">
                          <dgm:alg type="tx">
                            <dgm:param type="txAnchorVert" val="t"/>
                            <dgm:param type="parTxLTRAlign" val="l"/>
                            <dgm:param type="parTxRTLAlign" val="r"/>
                          </dgm:alg>
                        </dgm:if>
                        <dgm:else name="Name45">
                          <dgm:alg type="tx">
                            <dgm:param type="txAnchorVert" val="t"/>
                            <dgm:param type="parTxLTRAlign" val="l"/>
                            <dgm:param type="parTxRTLAlign" val="l"/>
                          </dgm:alg>
                        </dgm:else>
                      </dgm:choose>
                    </dgm:if>
                    <dgm:else name="Name46">
                      <dgm:choose name="Name47">
                        <dgm:if name="Name48" axis="root des" ptType="all node" func="maxDepth" op="gt" val="1">
                          <dgm:alg type="tx">
                            <dgm:param type="txAnchorVert" val="b"/>
                            <dgm:param type="txAnchorVertCh" val="b"/>
                            <dgm:param type="parTxLTRAlign" val="l"/>
                            <dgm:param type="parTxRTLAlign" val="r"/>
                          </dgm:alg>
                        </dgm:if>
                        <dgm:else name="Name49">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50">
                    <dgm:if name="Name51" func="var" arg="dir" op="equ" val="norm">
                      <dgm:constrLst>
                        <dgm:constr type="rMarg"/>
                        <dgm:constr type="tMarg"/>
                        <dgm:constr type="bMarg"/>
                      </dgm:constrLst>
                    </dgm:if>
                    <dgm:else name="Name52">
                      <dgm:constrLst>
                        <dgm:constr type="lMarg"/>
                        <dgm:constr type="tMarg"/>
                        <dgm:constr type="bMarg"/>
                      </dgm:constrLst>
                    </dgm:else>
                  </dgm:choose>
                  <dgm:ruleLst>
                    <dgm:rule type="primFontSz" val="5" fact="NaN" max="NaN"/>
                  </dgm:ruleLst>
                </dgm:layoutNode>
              </dgm:forEach>
              <dgm:forEach name="Name53" axis="ch" ptType="node" st="2" cnt="1">
                <dgm:layoutNode name="bullet3b" styleLbl="node1">
                  <dgm:alg type="sp"/>
                  <dgm:shape xmlns:r="http://schemas.openxmlformats.org/officeDocument/2006/relationships" type="ellipse" r:blip="">
                    <dgm:adjLst/>
                  </dgm:shape>
                  <dgm:presOf/>
                  <dgm:constrLst/>
                  <dgm:ruleLst/>
                </dgm:layoutNode>
                <dgm:layoutNode name="textBox3b" styleLbl="revTx">
                  <dgm:varLst>
                    <dgm:bulletEnabled val="1"/>
                  </dgm:varLst>
                  <dgm:choose name="Name54">
                    <dgm:if name="Name55" func="var" arg="dir" op="equ" val="norm">
                      <dgm:choose name="Name56">
                        <dgm:if name="Name57" axis="root des" ptType="all node" func="maxDepth" op="gt" val="1">
                          <dgm:alg type="tx">
                            <dgm:param type="txAnchorVert" val="t"/>
                            <dgm:param type="parTxLTRAlign" val="l"/>
                            <dgm:param type="parTxRTLAlign" val="r"/>
                          </dgm:alg>
                        </dgm:if>
                        <dgm:else name="Name58">
                          <dgm:alg type="tx">
                            <dgm:param type="txAnchorVert" val="t"/>
                            <dgm:param type="parTxLTRAlign" val="l"/>
                            <dgm:param type="parTxRTLAlign" val="l"/>
                          </dgm:alg>
                        </dgm:else>
                      </dgm:choose>
                    </dgm:if>
                    <dgm:else name="Name59">
                      <dgm:choose name="Name60">
                        <dgm:if name="Name61" axis="root des" ptType="all node" func="maxDepth" op="gt" val="1">
                          <dgm:alg type="tx">
                            <dgm:param type="txAnchorVert" val="b"/>
                            <dgm:param type="txAnchorVertCh" val="b"/>
                            <dgm:param type="parTxLTRAlign" val="l"/>
                            <dgm:param type="parTxRTLAlign" val="r"/>
                          </dgm:alg>
                        </dgm:if>
                        <dgm:else name="Name6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63">
                    <dgm:if name="Name64" func="var" arg="dir" op="equ" val="norm">
                      <dgm:constrLst>
                        <dgm:constr type="rMarg"/>
                        <dgm:constr type="tMarg"/>
                        <dgm:constr type="bMarg"/>
                      </dgm:constrLst>
                    </dgm:if>
                    <dgm:else name="Name65">
                      <dgm:constrLst>
                        <dgm:constr type="lMarg"/>
                        <dgm:constr type="tMarg"/>
                        <dgm:constr type="bMarg"/>
                      </dgm:constrLst>
                    </dgm:else>
                  </dgm:choose>
                  <dgm:ruleLst>
                    <dgm:rule type="primFontSz" val="5" fact="NaN" max="NaN"/>
                  </dgm:ruleLst>
                </dgm:layoutNode>
              </dgm:forEach>
              <dgm:forEach name="Name66" axis="ch" ptType="node" st="3" cnt="1">
                <dgm:layoutNode name="bullet3c" styleLbl="node1">
                  <dgm:alg type="sp"/>
                  <dgm:shape xmlns:r="http://schemas.openxmlformats.org/officeDocument/2006/relationships" type="ellipse" r:blip="">
                    <dgm:adjLst/>
                  </dgm:shape>
                  <dgm:presOf/>
                  <dgm:constrLst/>
                  <dgm:ruleLst/>
                </dgm:layoutNode>
                <dgm:layoutNode name="textBox3c" styleLbl="revTx">
                  <dgm:varLst>
                    <dgm:bulletEnabled val="1"/>
                  </dgm:varLst>
                  <dgm:choose name="Name67">
                    <dgm:if name="Name68" func="var" arg="dir" op="equ" val="norm">
                      <dgm:choose name="Name69">
                        <dgm:if name="Name70" axis="root des" ptType="all node" func="maxDepth" op="gt" val="1">
                          <dgm:alg type="tx">
                            <dgm:param type="txAnchorVert" val="t"/>
                            <dgm:param type="parTxLTRAlign" val="l"/>
                            <dgm:param type="parTxRTLAlign" val="r"/>
                          </dgm:alg>
                        </dgm:if>
                        <dgm:else name="Name71">
                          <dgm:alg type="tx">
                            <dgm:param type="txAnchorVert" val="t"/>
                            <dgm:param type="parTxLTRAlign" val="l"/>
                            <dgm:param type="parTxRTLAlign" val="l"/>
                          </dgm:alg>
                        </dgm:else>
                      </dgm:choose>
                    </dgm:if>
                    <dgm:else name="Name72">
                      <dgm:choose name="Name73">
                        <dgm:if name="Name74" axis="root des" ptType="all node" func="maxDepth" op="gt" val="1">
                          <dgm:alg type="tx">
                            <dgm:param type="txAnchorVert" val="b"/>
                            <dgm:param type="txAnchorVertCh" val="b"/>
                            <dgm:param type="parTxLTRAlign" val="l"/>
                            <dgm:param type="parTxRTLAlign" val="r"/>
                          </dgm:alg>
                        </dgm:if>
                        <dgm:else name="Name7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76">
                    <dgm:if name="Name77" func="var" arg="dir" op="equ" val="norm">
                      <dgm:constrLst>
                        <dgm:constr type="rMarg"/>
                        <dgm:constr type="tMarg"/>
                        <dgm:constr type="bMarg"/>
                      </dgm:constrLst>
                    </dgm:if>
                    <dgm:else name="Name78">
                      <dgm:constrLst>
                        <dgm:constr type="lMarg"/>
                        <dgm:constr type="tMarg"/>
                        <dgm:constr type="bMarg"/>
                      </dgm:constrLst>
                    </dgm:else>
                  </dgm:choose>
                  <dgm:ruleLst>
                    <dgm:rule type="primFontSz" val="5" fact="NaN" max="NaN"/>
                  </dgm:ruleLst>
                </dgm:layoutNode>
              </dgm:forEach>
            </dgm:layoutNode>
          </dgm:if>
          <dgm:if name="Name79" axis="ch" ptType="node" func="cnt" op="equ" val="4">
            <dgm:layoutNode name="arrowDiagram4">
              <dgm:alg type="composite">
                <dgm:param type="vertAlign" val="none"/>
                <dgm:param type="horzAlign" val="none"/>
              </dgm:alg>
              <dgm:shape xmlns:r="http://schemas.openxmlformats.org/officeDocument/2006/relationships" r:blip="">
                <dgm:adjLst/>
              </dgm:shape>
              <dgm:presOf/>
              <dgm:choose name="Name80">
                <dgm:if name="Name81" func="var" arg="dir" op="equ" val="norm">
                  <dgm:constrLst>
                    <dgm:constr type="ctrX" for="ch" forName="bullet4a" refType="w" fact="0.11"/>
                    <dgm:constr type="ctrY" for="ch" forName="bullet4a" refType="h" fact="0.762"/>
                    <dgm:constr type="w" for="ch" forName="bullet4a" refType="w" fact="0.023"/>
                    <dgm:constr type="h" for="ch" forName="bullet4a" refType="w" refFor="ch" refForName="bullet4a"/>
                    <dgm:constr type="l" for="ch" forName="textBox4a" refType="ctrX" refFor="ch" refForName="bullet4a"/>
                    <dgm:constr type="t" for="ch" forName="textBox4a" refType="ctrY" refFor="ch" refForName="bullet4a"/>
                    <dgm:constr type="w" for="ch" forName="textBox4a" refType="w" fact="0.171"/>
                    <dgm:constr type="h" for="ch" forName="textBox4a" refType="h" fact="0.238"/>
                    <dgm:constr type="userA" refType="h" refFor="ch" refForName="bullet4a" fact="0.53"/>
                    <dgm:constr type="l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l" for="ch" forName="textBox4b" refType="ctrX" refFor="ch" refForName="bullet4b"/>
                    <dgm:constr type="t" for="ch" forName="textBox4b" refType="ctrY" refFor="ch" refForName="bullet4b"/>
                    <dgm:constr type="w" for="ch" forName="textBox4b" refType="w" fact="0.21"/>
                    <dgm:constr type="h" for="ch" forName="textBox4b" refType="h" fact="0.457"/>
                    <dgm:constr type="userB" refType="h" refFor="ch" refForName="bullet4b" fact="0.53"/>
                    <dgm:constr type="l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l" for="ch" forName="textBox4c" refType="ctrX" refFor="ch" refForName="bullet4c"/>
                    <dgm:constr type="t" for="ch" forName="textBox4c" refType="ctrY" refFor="ch" refForName="bullet4c"/>
                    <dgm:constr type="w" for="ch" forName="textBox4c" refType="w" fact="0.21"/>
                    <dgm:constr type="h" for="ch" forName="textBox4c" refType="h" fact="0.618"/>
                    <dgm:constr type="userC" refType="h" refFor="ch" refForName="bullet4c" fact="0.53"/>
                    <dgm:constr type="l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l" for="ch" forName="textBox4d" refType="ctrX" refFor="ch" refForName="bullet4d"/>
                    <dgm:constr type="t" for="ch" forName="textBox4d" refType="ctrY" refFor="ch" refForName="bullet4d"/>
                    <dgm:constr type="w" for="ch" forName="textBox4d" refType="w" fact="0.21"/>
                    <dgm:constr type="h" for="ch" forName="textBox4d" refType="h" fact="0.717"/>
                    <dgm:constr type="userD" refType="h" refFor="ch" refForName="bullet4d" fact="0.53"/>
                    <dgm:constr type="lMarg" for="ch" forName="textBox4d" refType="userD" fact="2.834"/>
                    <dgm:constr type="primFontSz" for="ch" ptType="node" op="equ" val="65"/>
                  </dgm:constrLst>
                </dgm:if>
                <dgm:else name="Name82">
                  <dgm:constrLst>
                    <dgm:constr type="ctrX" for="ch" forName="bullet4a" refType="w" fact="0.11"/>
                    <dgm:constr type="ctrY" for="ch" forName="bullet4a" refType="h" fact="0.762"/>
                    <dgm:constr type="w" for="ch" forName="bullet4a" refType="w" fact="0.023"/>
                    <dgm:constr type="h" for="ch" forName="bullet4a" refType="w" refFor="ch" refForName="bullet4a"/>
                    <dgm:constr type="r" for="ch" forName="textBox4a" refType="ctrX" refFor="ch" refForName="bullet4a"/>
                    <dgm:constr type="b" for="ch" forName="textBox4a" refType="ctrY" refFor="ch" refForName="bullet4a"/>
                    <dgm:constr type="w" for="ch" forName="textBox4a" refType="w" fact="0.11"/>
                    <dgm:constr type="h" for="ch" forName="textBox4a" refType="h" fact="0.762"/>
                    <dgm:constr type="userA" refType="h" refFor="ch" refForName="bullet4a" fact="0.53"/>
                    <dgm:constr type="rMarg" for="ch" forName="textBox4a" refType="userA" fact="2.834"/>
                    <dgm:constr type="ctrX" for="ch" forName="bullet4b" refType="w" fact="0.281"/>
                    <dgm:constr type="ctrY" for="ch" forName="bullet4b" refType="h" fact="0.543"/>
                    <dgm:constr type="w" for="ch" forName="bullet4b" refType="w" fact="0.04"/>
                    <dgm:constr type="h" for="ch" forName="bullet4b" refType="w" refFor="ch" refForName="bullet4b"/>
                    <dgm:constr type="r" for="ch" forName="textBox4b" refType="ctrX" refFor="ch" refForName="bullet4b"/>
                    <dgm:constr type="b" for="ch" forName="textBox4b" refType="ctrY" refFor="ch" refForName="bullet4b"/>
                    <dgm:constr type="w" for="ch" forName="textBox4b" refType="w" fact="0.171"/>
                    <dgm:constr type="h" for="ch" forName="textBox4b" refType="h" fact="0.543"/>
                    <dgm:constr type="userB" refType="h" refFor="ch" refForName="bullet4b" fact="0.53"/>
                    <dgm:constr type="rMarg" for="ch" forName="textBox4b" refType="userB" fact="2.834"/>
                    <dgm:constr type="ctrX" for="ch" forName="bullet4c" refType="w" fact="0.495"/>
                    <dgm:constr type="ctrY" for="ch" forName="bullet4c" refType="h" fact="0.382"/>
                    <dgm:constr type="w" for="ch" forName="bullet4c" refType="w" fact="0.053"/>
                    <dgm:constr type="h" for="ch" forName="bullet4c" refType="w" refFor="ch" refForName="bullet4c"/>
                    <dgm:constr type="r" for="ch" forName="textBox4c" refType="ctrX" refFor="ch" refForName="bullet4c"/>
                    <dgm:constr type="b" for="ch" forName="textBox4c" refType="ctrY" refFor="ch" refForName="bullet4c"/>
                    <dgm:constr type="w" for="ch" forName="textBox4c" refType="w" fact="0.21"/>
                    <dgm:constr type="h" for="ch" forName="textBox4c" refType="h" fact="0.382"/>
                    <dgm:constr type="userC" refType="h" refFor="ch" refForName="bullet4c" fact="0.53"/>
                    <dgm:constr type="rMarg" for="ch" forName="textBox4c" refType="userC" fact="2.834"/>
                    <dgm:constr type="ctrX" for="ch" forName="bullet4d" refType="w" fact="0.73"/>
                    <dgm:constr type="ctrY" for="ch" forName="bullet4d" refType="h" fact="0.283"/>
                    <dgm:constr type="w" for="ch" forName="bullet4d" refType="w" fact="0.071"/>
                    <dgm:constr type="h" for="ch" forName="bullet4d" refType="w" refFor="ch" refForName="bullet4d"/>
                    <dgm:constr type="r" for="ch" forName="textBox4d" refType="ctrX" refFor="ch" refForName="bullet4d"/>
                    <dgm:constr type="b" for="ch" forName="textBox4d" refType="ctrY" refFor="ch" refForName="bullet4d"/>
                    <dgm:constr type="w" for="ch" forName="textBox4d" refType="w" fact="0.21"/>
                    <dgm:constr type="h" for="ch" forName="textBox4d" refType="h" fact="0.283"/>
                    <dgm:constr type="userD" refType="h" refFor="ch" refForName="bullet4d" fact="0.53"/>
                    <dgm:constr type="rMarg" for="ch" forName="textBox4d" refType="userD" fact="2.834"/>
                    <dgm:constr type="primFontSz" for="ch" ptType="node" op="equ" val="65"/>
                  </dgm:constrLst>
                </dgm:else>
              </dgm:choose>
              <dgm:ruleLst/>
              <dgm:forEach name="Name83" axis="ch" ptType="node" cnt="1">
                <dgm:layoutNode name="bullet4a" styleLbl="node1">
                  <dgm:alg type="sp"/>
                  <dgm:shape xmlns:r="http://schemas.openxmlformats.org/officeDocument/2006/relationships" type="ellipse" r:blip="">
                    <dgm:adjLst/>
                  </dgm:shape>
                  <dgm:presOf/>
                  <dgm:constrLst/>
                  <dgm:ruleLst/>
                </dgm:layoutNode>
                <dgm:layoutNode name="textBox4a" styleLbl="revTx">
                  <dgm:varLst>
                    <dgm:bulletEnabled val="1"/>
                  </dgm:varLst>
                  <dgm:choose name="Name84">
                    <dgm:if name="Name85" func="var" arg="dir" op="equ" val="norm">
                      <dgm:choose name="Name86">
                        <dgm:if name="Name87" axis="root des" ptType="all node" func="maxDepth" op="gt" val="1">
                          <dgm:alg type="tx">
                            <dgm:param type="txAnchorVert" val="t"/>
                            <dgm:param type="parTxLTRAlign" val="l"/>
                            <dgm:param type="parTxRTLAlign" val="r"/>
                          </dgm:alg>
                        </dgm:if>
                        <dgm:else name="Name88">
                          <dgm:alg type="tx">
                            <dgm:param type="txAnchorVert" val="t"/>
                            <dgm:param type="parTxLTRAlign" val="l"/>
                            <dgm:param type="parTxRTLAlign" val="l"/>
                          </dgm:alg>
                        </dgm:else>
                      </dgm:choose>
                    </dgm:if>
                    <dgm:else name="Name89">
                      <dgm:choose name="Name90">
                        <dgm:if name="Name91" axis="root des" ptType="all node" func="maxDepth" op="gt" val="1">
                          <dgm:alg type="tx">
                            <dgm:param type="txAnchorVert" val="b"/>
                            <dgm:param type="txAnchorVertCh" val="b"/>
                            <dgm:param type="parTxLTRAlign" val="l"/>
                            <dgm:param type="parTxRTLAlign" val="r"/>
                          </dgm:alg>
                        </dgm:if>
                        <dgm:else name="Name92">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rMarg"/>
                        <dgm:constr type="tMarg"/>
                        <dgm:constr type="bMarg"/>
                      </dgm:constrLst>
                    </dgm:if>
                    <dgm:else name="Name95">
                      <dgm:constrLst>
                        <dgm:constr type="lMarg"/>
                        <dgm:constr type="tMarg"/>
                        <dgm:constr type="bMarg"/>
                      </dgm:constrLst>
                    </dgm:else>
                  </dgm:choose>
                  <dgm:ruleLst>
                    <dgm:rule type="primFontSz" val="5" fact="NaN" max="NaN"/>
                  </dgm:ruleLst>
                </dgm:layoutNode>
              </dgm:forEach>
              <dgm:forEach name="Name96" axis="ch" ptType="node" st="2" cnt="1">
                <dgm:layoutNode name="bullet4b" styleLbl="node1">
                  <dgm:alg type="sp"/>
                  <dgm:shape xmlns:r="http://schemas.openxmlformats.org/officeDocument/2006/relationships" type="ellipse" r:blip="">
                    <dgm:adjLst/>
                  </dgm:shape>
                  <dgm:presOf/>
                  <dgm:constrLst/>
                  <dgm:ruleLst/>
                </dgm:layoutNode>
                <dgm:layoutNode name="textBox4b" styleLbl="revTx">
                  <dgm:varLst>
                    <dgm:bulletEnabled val="1"/>
                  </dgm:varLst>
                  <dgm:choose name="Name97">
                    <dgm:if name="Name98" func="var" arg="dir" op="equ" val="norm">
                      <dgm:choose name="Name99">
                        <dgm:if name="Name100" axis="root des" ptType="all node" func="maxDepth" op="gt" val="1">
                          <dgm:alg type="tx">
                            <dgm:param type="txAnchorVert" val="t"/>
                            <dgm:param type="parTxLTRAlign" val="l"/>
                            <dgm:param type="parTxRTLAlign" val="r"/>
                          </dgm:alg>
                        </dgm:if>
                        <dgm:else name="Name101">
                          <dgm:alg type="tx">
                            <dgm:param type="txAnchorVert" val="t"/>
                            <dgm:param type="parTxLTRAlign" val="l"/>
                            <dgm:param type="parTxRTLAlign" val="l"/>
                          </dgm:alg>
                        </dgm:else>
                      </dgm:choose>
                    </dgm:if>
                    <dgm:else name="Name102">
                      <dgm:choose name="Name103">
                        <dgm:if name="Name104" axis="root des" ptType="all node" func="maxDepth" op="gt" val="1">
                          <dgm:alg type="tx">
                            <dgm:param type="txAnchorVert" val="b"/>
                            <dgm:param type="txAnchorVertCh" val="b"/>
                            <dgm:param type="parTxLTRAlign" val="l"/>
                            <dgm:param type="parTxRTLAlign" val="r"/>
                          </dgm:alg>
                        </dgm:if>
                        <dgm:else name="Name105">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06">
                    <dgm:if name="Name107" func="var" arg="dir" op="equ" val="norm">
                      <dgm:constrLst>
                        <dgm:constr type="rMarg"/>
                        <dgm:constr type="tMarg"/>
                        <dgm:constr type="bMarg"/>
                      </dgm:constrLst>
                    </dgm:if>
                    <dgm:else name="Name108">
                      <dgm:constrLst>
                        <dgm:constr type="lMarg"/>
                        <dgm:constr type="tMarg"/>
                        <dgm:constr type="bMarg"/>
                      </dgm:constrLst>
                    </dgm:else>
                  </dgm:choose>
                  <dgm:ruleLst>
                    <dgm:rule type="primFontSz" val="5" fact="NaN" max="NaN"/>
                  </dgm:ruleLst>
                </dgm:layoutNode>
              </dgm:forEach>
              <dgm:forEach name="Name109" axis="ch" ptType="node" st="3" cnt="1">
                <dgm:layoutNode name="bullet4c" styleLbl="node1">
                  <dgm:alg type="sp"/>
                  <dgm:shape xmlns:r="http://schemas.openxmlformats.org/officeDocument/2006/relationships" type="ellipse" r:blip="">
                    <dgm:adjLst/>
                  </dgm:shape>
                  <dgm:presOf/>
                  <dgm:constrLst/>
                  <dgm:ruleLst/>
                </dgm:layoutNode>
                <dgm:layoutNode name="textBox4c" styleLbl="revTx">
                  <dgm:varLst>
                    <dgm:bulletEnabled val="1"/>
                  </dgm:varLst>
                  <dgm:choose name="Name110">
                    <dgm:if name="Name111" func="var" arg="dir" op="equ" val="norm">
                      <dgm:choose name="Name112">
                        <dgm:if name="Name113" axis="root des" ptType="all node" func="maxDepth" op="gt" val="1">
                          <dgm:alg type="tx">
                            <dgm:param type="txAnchorVert" val="t"/>
                            <dgm:param type="parTxLTRAlign" val="l"/>
                            <dgm:param type="parTxRTLAlign" val="r"/>
                          </dgm:alg>
                        </dgm:if>
                        <dgm:else name="Name114">
                          <dgm:alg type="tx">
                            <dgm:param type="txAnchorVert" val="t"/>
                            <dgm:param type="parTxLTRAlign" val="l"/>
                            <dgm:param type="parTxRTLAlign" val="l"/>
                          </dgm:alg>
                        </dgm:else>
                      </dgm:choose>
                    </dgm:if>
                    <dgm:else name="Name115">
                      <dgm:choose name="Name116">
                        <dgm:if name="Name117" axis="root des" ptType="all node" func="maxDepth" op="gt" val="1">
                          <dgm:alg type="tx">
                            <dgm:param type="txAnchorVert" val="b"/>
                            <dgm:param type="txAnchorVertCh" val="b"/>
                            <dgm:param type="parTxLTRAlign" val="l"/>
                            <dgm:param type="parTxRTLAlign" val="r"/>
                          </dgm:alg>
                        </dgm:if>
                        <dgm:else name="Name11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19">
                    <dgm:if name="Name120" func="var" arg="dir" op="equ" val="norm">
                      <dgm:constrLst>
                        <dgm:constr type="rMarg"/>
                        <dgm:constr type="tMarg"/>
                        <dgm:constr type="bMarg"/>
                      </dgm:constrLst>
                    </dgm:if>
                    <dgm:else name="Name121">
                      <dgm:constrLst>
                        <dgm:constr type="lMarg"/>
                        <dgm:constr type="tMarg"/>
                        <dgm:constr type="bMarg"/>
                      </dgm:constrLst>
                    </dgm:else>
                  </dgm:choose>
                  <dgm:ruleLst>
                    <dgm:rule type="primFontSz" val="5" fact="NaN" max="NaN"/>
                  </dgm:ruleLst>
                </dgm:layoutNode>
              </dgm:forEach>
              <dgm:forEach name="Name122" axis="ch" ptType="node" st="4" cnt="1">
                <dgm:layoutNode name="bullet4d" styleLbl="node1">
                  <dgm:alg type="sp"/>
                  <dgm:shape xmlns:r="http://schemas.openxmlformats.org/officeDocument/2006/relationships" type="ellipse" r:blip="">
                    <dgm:adjLst/>
                  </dgm:shape>
                  <dgm:presOf/>
                  <dgm:constrLst/>
                  <dgm:ruleLst/>
                </dgm:layoutNode>
                <dgm:layoutNode name="textBox4d" styleLbl="revTx">
                  <dgm:varLst>
                    <dgm:bulletEnabled val="1"/>
                  </dgm:varLst>
                  <dgm:choose name="Name123">
                    <dgm:if name="Name124" func="var" arg="dir" op="equ" val="norm">
                      <dgm:choose name="Name125">
                        <dgm:if name="Name126" axis="root des" ptType="all node" func="maxDepth" op="gt" val="1">
                          <dgm:alg type="tx">
                            <dgm:param type="txAnchorVert" val="t"/>
                            <dgm:param type="parTxLTRAlign" val="l"/>
                            <dgm:param type="parTxRTLAlign" val="r"/>
                          </dgm:alg>
                        </dgm:if>
                        <dgm:else name="Name127">
                          <dgm:alg type="tx">
                            <dgm:param type="txAnchorVert" val="t"/>
                            <dgm:param type="parTxLTRAlign" val="l"/>
                            <dgm:param type="parTxRTLAlign" val="l"/>
                          </dgm:alg>
                        </dgm:else>
                      </dgm:choose>
                    </dgm:if>
                    <dgm:else name="Name128">
                      <dgm:choose name="Name129">
                        <dgm:if name="Name130" axis="root des" ptType="all node" func="maxDepth" op="gt" val="1">
                          <dgm:alg type="tx">
                            <dgm:param type="txAnchorVert" val="b"/>
                            <dgm:param type="txAnchorVertCh" val="b"/>
                            <dgm:param type="parTxLTRAlign" val="l"/>
                            <dgm:param type="parTxRTLAlign" val="r"/>
                          </dgm:alg>
                        </dgm:if>
                        <dgm:else name="Name13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32">
                    <dgm:if name="Name133" func="var" arg="dir" op="equ" val="norm">
                      <dgm:constrLst>
                        <dgm:constr type="rMarg"/>
                        <dgm:constr type="tMarg"/>
                        <dgm:constr type="bMarg"/>
                      </dgm:constrLst>
                    </dgm:if>
                    <dgm:else name="Name134">
                      <dgm:constrLst>
                        <dgm:constr type="lMarg"/>
                        <dgm:constr type="tMarg"/>
                        <dgm:constr type="bMarg"/>
                      </dgm:constrLst>
                    </dgm:else>
                  </dgm:choose>
                  <dgm:ruleLst>
                    <dgm:rule type="primFontSz" val="5" fact="NaN" max="NaN"/>
                  </dgm:ruleLst>
                </dgm:layoutNode>
              </dgm:forEach>
            </dgm:layoutNode>
          </dgm:if>
          <dgm:else name="Name135">
            <dgm:layoutNode name="arrowDiagram5">
              <dgm:alg type="composite">
                <dgm:param type="vertAlign" val="none"/>
                <dgm:param type="horzAlign" val="none"/>
              </dgm:alg>
              <dgm:shape xmlns:r="http://schemas.openxmlformats.org/officeDocument/2006/relationships" r:blip="">
                <dgm:adjLst/>
              </dgm:shape>
              <dgm:presOf/>
              <dgm:choose name="Name136">
                <dgm:if name="Name137" func="var" arg="dir" op="equ" val="norm">
                  <dgm:constrLst>
                    <dgm:constr type="ctrX" for="ch" forName="bullet5a" refType="w" fact="0.11"/>
                    <dgm:constr type="ctrY" for="ch" forName="bullet5a" refType="h" fact="0.762"/>
                    <dgm:constr type="w" for="ch" forName="bullet5a" refType="w" fact="0.023"/>
                    <dgm:constr type="h" for="ch" forName="bullet5a" refType="w" refFor="ch" refForName="bullet5a"/>
                    <dgm:constr type="l" for="ch" forName="textBox5a" refType="ctrX" refFor="ch" refForName="bullet5a"/>
                    <dgm:constr type="t" for="ch" forName="textBox5a" refType="ctrY" refFor="ch" refForName="bullet5a"/>
                    <dgm:constr type="w" for="ch" forName="textBox5a" refType="w" fact="0.131"/>
                    <dgm:constr type="h" for="ch" forName="textBox5a" refType="h" fact="0.238"/>
                    <dgm:constr type="userA" refType="h" refFor="ch" refForName="bullet5a" fact="0.53"/>
                    <dgm:constr type="l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l" for="ch" forName="textBox5b" refType="ctrX" refFor="ch" refForName="bullet5b"/>
                    <dgm:constr type="t" for="ch" forName="textBox5b" refType="ctrY" refFor="ch" refForName="bullet5b"/>
                    <dgm:constr type="w" for="ch" forName="textBox5b" refType="w" fact="0.166"/>
                    <dgm:constr type="h" for="ch" forName="textBox5b" refType="h" fact="0.419"/>
                    <dgm:constr type="userB" refType="h" refFor="ch" refForName="bullet5b" fact="0.53"/>
                    <dgm:constr type="l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l" for="ch" forName="textBox5c" refType="ctrX" refFor="ch" refForName="bullet5c"/>
                    <dgm:constr type="t" for="ch" forName="textBox5c" refType="ctrY" refFor="ch" refForName="bullet5c"/>
                    <dgm:constr type="w" for="ch" forName="textBox5c" refType="w" fact="0.193"/>
                    <dgm:constr type="h" for="ch" forName="textBox5c" refType="h" fact="0.562"/>
                    <dgm:constr type="userC" refType="h" refFor="ch" refForName="bullet5c" fact="0.53"/>
                    <dgm:constr type="l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l" for="ch" forName="textBox5d" refType="ctrX" refFor="ch" refForName="bullet5d"/>
                    <dgm:constr type="t" for="ch" forName="textBox5d" refType="ctrY" refFor="ch" refForName="bullet5d"/>
                    <dgm:constr type="w" for="ch" forName="textBox5d" refType="w" fact="0.2"/>
                    <dgm:constr type="h" for="ch" forName="textBox5d" refType="h" fact="0.67"/>
                    <dgm:constr type="userD" refType="h" refFor="ch" refForName="bullet5d" fact="0.53"/>
                    <dgm:constr type="l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l" for="ch" forName="textBox5e" refType="ctrX" refFor="ch" refForName="bullet5e"/>
                    <dgm:constr type="t" for="ch" forName="textBox5e" refType="ctrY" refFor="ch" refForName="bullet5e"/>
                    <dgm:constr type="w" for="ch" forName="textBox5e" refType="w" fact="0.2"/>
                    <dgm:constr type="h" for="ch" forName="textBox5e" refType="h" fact="0.736"/>
                    <dgm:constr type="userE" refType="h" refFor="ch" refForName="bullet5e" fact="0.53"/>
                    <dgm:constr type="lMarg" for="ch" forName="textBox5e" refType="userE" fact="2.834"/>
                    <dgm:constr type="primFontSz" for="ch" ptType="node" op="equ" val="65"/>
                  </dgm:constrLst>
                </dgm:if>
                <dgm:else name="Name138">
                  <dgm:constrLst>
                    <dgm:constr type="ctrX" for="ch" forName="bullet5a" refType="w" fact="0.11"/>
                    <dgm:constr type="ctrY" for="ch" forName="bullet5a" refType="h" fact="0.762"/>
                    <dgm:constr type="w" for="ch" forName="bullet5a" refType="w" fact="0.023"/>
                    <dgm:constr type="h" for="ch" forName="bullet5a" refType="w" refFor="ch" refForName="bullet5a"/>
                    <dgm:constr type="r" for="ch" forName="textBox5a" refType="ctrX" refFor="ch" refForName="bullet5a"/>
                    <dgm:constr type="b" for="ch" forName="textBox5a" refType="ctrY" refFor="ch" refForName="bullet5a"/>
                    <dgm:constr type="w" for="ch" forName="textBox5a" refType="w" fact="0.11"/>
                    <dgm:constr type="h" for="ch" forName="textBox5a" refType="h" fact="0.762"/>
                    <dgm:constr type="userA" refType="h" refFor="ch" refForName="bullet5a" fact="0.53"/>
                    <dgm:constr type="rMarg" for="ch" forName="textBox5a" refType="userA" fact="2.834"/>
                    <dgm:constr type="ctrX" for="ch" forName="bullet5b" refType="w" fact="0.241"/>
                    <dgm:constr type="ctrY" for="ch" forName="bullet5b" refType="h" fact="0.581"/>
                    <dgm:constr type="w" for="ch" forName="bullet5b" refType="w" fact="0.036"/>
                    <dgm:constr type="h" for="ch" forName="bullet5b" refType="w" refFor="ch" refForName="bullet5b"/>
                    <dgm:constr type="r" for="ch" forName="textBox5b" refType="ctrX" refFor="ch" refForName="bullet5b"/>
                    <dgm:constr type="b" for="ch" forName="textBox5b" refType="ctrY" refFor="ch" refForName="bullet5b"/>
                    <dgm:constr type="w" for="ch" forName="textBox5b" refType="w" fact="0.131"/>
                    <dgm:constr type="h" for="ch" forName="textBox5b" refType="h" fact="0.581"/>
                    <dgm:constr type="userB" refType="h" refFor="ch" refForName="bullet5b" fact="0.53"/>
                    <dgm:constr type="rMarg" for="ch" forName="textBox5b" refType="userB" fact="2.834"/>
                    <dgm:constr type="ctrX" for="ch" forName="bullet5c" refType="w" fact="0.407"/>
                    <dgm:constr type="ctrY" for="ch" forName="bullet5c" refType="h" fact="0.438"/>
                    <dgm:constr type="w" for="ch" forName="bullet5c" refType="w" fact="0.048"/>
                    <dgm:constr type="h" for="ch" forName="bullet5c" refType="w" refFor="ch" refForName="bullet5c"/>
                    <dgm:constr type="r" for="ch" forName="textBox5c" refType="ctrX" refFor="ch" refForName="bullet5c"/>
                    <dgm:constr type="b" for="ch" forName="textBox5c" refType="ctrY" refFor="ch" refForName="bullet5c"/>
                    <dgm:constr type="w" for="ch" forName="textBox5c" refType="w" fact="0.166"/>
                    <dgm:constr type="h" for="ch" forName="textBox5c" refType="h" fact="0.438"/>
                    <dgm:constr type="userC" refType="h" refFor="ch" refForName="bullet5c" fact="0.53"/>
                    <dgm:constr type="rMarg" for="ch" forName="textBox5c" refType="userC" fact="2.834"/>
                    <dgm:constr type="ctrX" for="ch" forName="bullet5d" refType="w" fact="0.6"/>
                    <dgm:constr type="ctrY" for="ch" forName="bullet5d" refType="h" fact="0.33"/>
                    <dgm:constr type="w" for="ch" forName="bullet5d" refType="w" fact="0.062"/>
                    <dgm:constr type="h" for="ch" forName="bullet5d" refType="w" refFor="ch" refForName="bullet5d"/>
                    <dgm:constr type="r" for="ch" forName="textBox5d" refType="ctrX" refFor="ch" refForName="bullet5d"/>
                    <dgm:constr type="b" for="ch" forName="textBox5d" refType="ctrY" refFor="ch" refForName="bullet5d"/>
                    <dgm:constr type="w" for="ch" forName="textBox5d" refType="w" fact="0.193"/>
                    <dgm:constr type="h" for="ch" forName="textBox5d" refType="h" fact="0.33"/>
                    <dgm:constr type="userD" refType="h" refFor="ch" refForName="bullet5d" fact="0.53"/>
                    <dgm:constr type="rMarg" for="ch" forName="textBox5d" refType="userD" fact="2.834"/>
                    <dgm:constr type="ctrX" for="ch" forName="bullet5e" refType="w" fact="0.8"/>
                    <dgm:constr type="ctrY" for="ch" forName="bullet5e" refType="h" fact="0.264"/>
                    <dgm:constr type="w" for="ch" forName="bullet5e" refType="w" fact="0.079"/>
                    <dgm:constr type="h" for="ch" forName="bullet5e" refType="w" refFor="ch" refForName="bullet5e"/>
                    <dgm:constr type="r" for="ch" forName="textBox5e" refType="ctrX" refFor="ch" refForName="bullet5e"/>
                    <dgm:constr type="b" for="ch" forName="textBox5e" refType="ctrY" refFor="ch" refForName="bullet5e"/>
                    <dgm:constr type="w" for="ch" forName="textBox5e" refType="w" fact="0.2"/>
                    <dgm:constr type="h" for="ch" forName="textBox5e" refType="h" fact="0.264"/>
                    <dgm:constr type="userE" refType="h" refFor="ch" refForName="bullet5e" fact="0.53"/>
                    <dgm:constr type="rMarg" for="ch" forName="textBox5e" refType="userE" fact="2.834"/>
                    <dgm:constr type="primFontSz" for="ch" ptType="node" op="equ" val="65"/>
                  </dgm:constrLst>
                </dgm:else>
              </dgm:choose>
              <dgm:ruleLst/>
              <dgm:forEach name="Name139" axis="ch" ptType="node" cnt="1">
                <dgm:layoutNode name="bullet5a" styleLbl="node1">
                  <dgm:alg type="sp"/>
                  <dgm:shape xmlns:r="http://schemas.openxmlformats.org/officeDocument/2006/relationships" type="ellipse" r:blip="">
                    <dgm:adjLst/>
                  </dgm:shape>
                  <dgm:presOf/>
                  <dgm:constrLst/>
                  <dgm:ruleLst/>
                </dgm:layoutNode>
                <dgm:layoutNode name="textBox5a" styleLbl="revTx">
                  <dgm:varLst>
                    <dgm:bulletEnabled val="1"/>
                  </dgm:varLst>
                  <dgm:choose name="Name140">
                    <dgm:if name="Name141" func="var" arg="dir" op="equ" val="norm">
                      <dgm:choose name="Name142">
                        <dgm:if name="Name143" axis="root des" ptType="all node" func="maxDepth" op="gt" val="1">
                          <dgm:alg type="tx">
                            <dgm:param type="txAnchorVert" val="t"/>
                            <dgm:param type="parTxLTRAlign" val="l"/>
                            <dgm:param type="parTxRTLAlign" val="r"/>
                          </dgm:alg>
                        </dgm:if>
                        <dgm:else name="Name144">
                          <dgm:alg type="tx">
                            <dgm:param type="txAnchorVert" val="t"/>
                            <dgm:param type="parTxLTRAlign" val="l"/>
                            <dgm:param type="parTxRTLAlign" val="l"/>
                          </dgm:alg>
                        </dgm:else>
                      </dgm:choose>
                    </dgm:if>
                    <dgm:else name="Name145">
                      <dgm:choose name="Name146">
                        <dgm:if name="Name147" axis="root des" ptType="all node" func="maxDepth" op="gt" val="1">
                          <dgm:alg type="tx">
                            <dgm:param type="txAnchorVert" val="b"/>
                            <dgm:param type="txAnchorVertCh" val="b"/>
                            <dgm:param type="parTxLTRAlign" val="l"/>
                            <dgm:param type="parTxRTLAlign" val="r"/>
                          </dgm:alg>
                        </dgm:if>
                        <dgm:else name="Name148">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49">
                    <dgm:if name="Name150" func="var" arg="dir" op="equ" val="norm">
                      <dgm:constrLst>
                        <dgm:constr type="rMarg"/>
                        <dgm:constr type="tMarg"/>
                        <dgm:constr type="bMarg"/>
                      </dgm:constrLst>
                    </dgm:if>
                    <dgm:else name="Name151">
                      <dgm:constrLst>
                        <dgm:constr type="lMarg"/>
                        <dgm:constr type="tMarg"/>
                        <dgm:constr type="bMarg"/>
                      </dgm:constrLst>
                    </dgm:else>
                  </dgm:choose>
                  <dgm:ruleLst>
                    <dgm:rule type="primFontSz" val="5" fact="NaN" max="NaN"/>
                  </dgm:ruleLst>
                </dgm:layoutNode>
              </dgm:forEach>
              <dgm:forEach name="Name152" axis="ch" ptType="node" st="2" cnt="1">
                <dgm:layoutNode name="bullet5b" styleLbl="node1">
                  <dgm:alg type="sp"/>
                  <dgm:shape xmlns:r="http://schemas.openxmlformats.org/officeDocument/2006/relationships" type="ellipse" r:blip="">
                    <dgm:adjLst/>
                  </dgm:shape>
                  <dgm:presOf/>
                  <dgm:constrLst/>
                  <dgm:ruleLst/>
                </dgm:layoutNode>
                <dgm:layoutNode name="textBox5b" styleLbl="revTx">
                  <dgm:varLst>
                    <dgm:bulletEnabled val="1"/>
                  </dgm:varLst>
                  <dgm:choose name="Name153">
                    <dgm:if name="Name154" func="var" arg="dir" op="equ" val="norm">
                      <dgm:choose name="Name155">
                        <dgm:if name="Name156" axis="root des" ptType="all node" func="maxDepth" op="gt" val="1">
                          <dgm:alg type="tx">
                            <dgm:param type="txAnchorVert" val="t"/>
                            <dgm:param type="parTxLTRAlign" val="l"/>
                            <dgm:param type="parTxRTLAlign" val="r"/>
                          </dgm:alg>
                        </dgm:if>
                        <dgm:else name="Name157">
                          <dgm:alg type="tx">
                            <dgm:param type="txAnchorVert" val="t"/>
                            <dgm:param type="parTxLTRAlign" val="l"/>
                            <dgm:param type="parTxRTLAlign" val="l"/>
                          </dgm:alg>
                        </dgm:else>
                      </dgm:choose>
                    </dgm:if>
                    <dgm:else name="Name158">
                      <dgm:choose name="Name159">
                        <dgm:if name="Name160" axis="root des" ptType="all node" func="maxDepth" op="gt" val="1">
                          <dgm:alg type="tx">
                            <dgm:param type="txAnchorVert" val="b"/>
                            <dgm:param type="txAnchorVertCh" val="b"/>
                            <dgm:param type="parTxLTRAlign" val="l"/>
                            <dgm:param type="parTxRTLAlign" val="r"/>
                          </dgm:alg>
                        </dgm:if>
                        <dgm:else name="Name161">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62">
                    <dgm:if name="Name163" func="var" arg="dir" op="equ" val="norm">
                      <dgm:constrLst>
                        <dgm:constr type="rMarg"/>
                        <dgm:constr type="tMarg"/>
                        <dgm:constr type="bMarg"/>
                      </dgm:constrLst>
                    </dgm:if>
                    <dgm:else name="Name164">
                      <dgm:constrLst>
                        <dgm:constr type="lMarg"/>
                        <dgm:constr type="tMarg"/>
                        <dgm:constr type="bMarg"/>
                      </dgm:constrLst>
                    </dgm:else>
                  </dgm:choose>
                  <dgm:ruleLst>
                    <dgm:rule type="primFontSz" val="5" fact="NaN" max="NaN"/>
                  </dgm:ruleLst>
                </dgm:layoutNode>
              </dgm:forEach>
              <dgm:forEach name="Name165" axis="ch" ptType="node" st="3" cnt="1">
                <dgm:layoutNode name="bullet5c" styleLbl="node1">
                  <dgm:alg type="sp"/>
                  <dgm:shape xmlns:r="http://schemas.openxmlformats.org/officeDocument/2006/relationships" type="ellipse" r:blip="">
                    <dgm:adjLst/>
                  </dgm:shape>
                  <dgm:presOf/>
                  <dgm:constrLst/>
                  <dgm:ruleLst/>
                </dgm:layoutNode>
                <dgm:layoutNode name="textBox5c" styleLbl="revTx">
                  <dgm:varLst>
                    <dgm:bulletEnabled val="1"/>
                  </dgm:varLst>
                  <dgm:choose name="Name166">
                    <dgm:if name="Name167" func="var" arg="dir" op="equ" val="norm">
                      <dgm:choose name="Name168">
                        <dgm:if name="Name169" axis="root des" ptType="all node" func="maxDepth" op="gt" val="1">
                          <dgm:alg type="tx">
                            <dgm:param type="txAnchorVert" val="t"/>
                            <dgm:param type="parTxLTRAlign" val="l"/>
                            <dgm:param type="parTxRTLAlign" val="r"/>
                          </dgm:alg>
                        </dgm:if>
                        <dgm:else name="Name170">
                          <dgm:alg type="tx">
                            <dgm:param type="txAnchorVert" val="t"/>
                            <dgm:param type="parTxLTRAlign" val="l"/>
                            <dgm:param type="parTxRTLAlign" val="l"/>
                          </dgm:alg>
                        </dgm:else>
                      </dgm:choose>
                    </dgm:if>
                    <dgm:else name="Name171">
                      <dgm:choose name="Name172">
                        <dgm:if name="Name173" axis="root des" ptType="all node" func="maxDepth" op="gt" val="1">
                          <dgm:alg type="tx">
                            <dgm:param type="txAnchorVert" val="b"/>
                            <dgm:param type="txAnchorVertCh" val="b"/>
                            <dgm:param type="parTxLTRAlign" val="l"/>
                            <dgm:param type="parTxRTLAlign" val="r"/>
                          </dgm:alg>
                        </dgm:if>
                        <dgm:else name="Name174">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75">
                    <dgm:if name="Name176" func="var" arg="dir" op="equ" val="norm">
                      <dgm:constrLst>
                        <dgm:constr type="rMarg"/>
                        <dgm:constr type="tMarg"/>
                        <dgm:constr type="bMarg"/>
                      </dgm:constrLst>
                    </dgm:if>
                    <dgm:else name="Name177">
                      <dgm:constrLst>
                        <dgm:constr type="lMarg"/>
                        <dgm:constr type="tMarg"/>
                        <dgm:constr type="bMarg"/>
                      </dgm:constrLst>
                    </dgm:else>
                  </dgm:choose>
                  <dgm:ruleLst>
                    <dgm:rule type="primFontSz" val="5" fact="NaN" max="NaN"/>
                  </dgm:ruleLst>
                </dgm:layoutNode>
              </dgm:forEach>
              <dgm:forEach name="Name178" axis="ch" ptType="node" st="4" cnt="1">
                <dgm:layoutNode name="bullet5d" styleLbl="node1">
                  <dgm:alg type="sp"/>
                  <dgm:shape xmlns:r="http://schemas.openxmlformats.org/officeDocument/2006/relationships" type="ellipse" r:blip="">
                    <dgm:adjLst/>
                  </dgm:shape>
                  <dgm:presOf/>
                  <dgm:constrLst/>
                  <dgm:ruleLst/>
                </dgm:layoutNode>
                <dgm:layoutNode name="textBox5d" styleLbl="revTx">
                  <dgm:varLst>
                    <dgm:bulletEnabled val="1"/>
                  </dgm:varLst>
                  <dgm:choose name="Name179">
                    <dgm:if name="Name180" func="var" arg="dir" op="equ" val="norm">
                      <dgm:choose name="Name181">
                        <dgm:if name="Name182" axis="root des" ptType="all node" func="maxDepth" op="gt" val="1">
                          <dgm:alg type="tx">
                            <dgm:param type="txAnchorVert" val="t"/>
                            <dgm:param type="parTxLTRAlign" val="l"/>
                            <dgm:param type="parTxRTLAlign" val="r"/>
                          </dgm:alg>
                        </dgm:if>
                        <dgm:else name="Name183">
                          <dgm:alg type="tx">
                            <dgm:param type="txAnchorVert" val="t"/>
                            <dgm:param type="parTxLTRAlign" val="l"/>
                            <dgm:param type="parTxRTLAlign" val="l"/>
                          </dgm:alg>
                        </dgm:else>
                      </dgm:choose>
                    </dgm:if>
                    <dgm:else name="Name184">
                      <dgm:choose name="Name185">
                        <dgm:if name="Name186" axis="root des" ptType="all node" func="maxDepth" op="gt" val="1">
                          <dgm:alg type="tx">
                            <dgm:param type="txAnchorVert" val="b"/>
                            <dgm:param type="txAnchorVertCh" val="b"/>
                            <dgm:param type="parTxLTRAlign" val="l"/>
                            <dgm:param type="parTxRTLAlign" val="r"/>
                          </dgm:alg>
                        </dgm:if>
                        <dgm:else name="Name187">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188">
                    <dgm:if name="Name189" func="var" arg="dir" op="equ" val="norm">
                      <dgm:constrLst>
                        <dgm:constr type="rMarg"/>
                        <dgm:constr type="tMarg"/>
                        <dgm:constr type="bMarg"/>
                      </dgm:constrLst>
                    </dgm:if>
                    <dgm:else name="Name190">
                      <dgm:constrLst>
                        <dgm:constr type="lMarg"/>
                        <dgm:constr type="tMarg"/>
                        <dgm:constr type="bMarg"/>
                      </dgm:constrLst>
                    </dgm:else>
                  </dgm:choose>
                  <dgm:ruleLst>
                    <dgm:rule type="primFontSz" val="5" fact="NaN" max="NaN"/>
                  </dgm:ruleLst>
                </dgm:layoutNode>
              </dgm:forEach>
              <dgm:forEach name="Name191" axis="ch" ptType="node" st="5" cnt="1">
                <dgm:layoutNode name="bullet5e" styleLbl="node1">
                  <dgm:alg type="sp"/>
                  <dgm:shape xmlns:r="http://schemas.openxmlformats.org/officeDocument/2006/relationships" type="ellipse" r:blip="">
                    <dgm:adjLst/>
                  </dgm:shape>
                  <dgm:presOf/>
                  <dgm:constrLst/>
                  <dgm:ruleLst/>
                </dgm:layoutNode>
                <dgm:layoutNode name="textBox5e" styleLbl="revTx">
                  <dgm:varLst>
                    <dgm:bulletEnabled val="1"/>
                  </dgm:varLst>
                  <dgm:choose name="Name192">
                    <dgm:if name="Name193" func="var" arg="dir" op="equ" val="norm">
                      <dgm:choose name="Name194">
                        <dgm:if name="Name195" axis="root des" ptType="all node" func="maxDepth" op="gt" val="1">
                          <dgm:alg type="tx">
                            <dgm:param type="txAnchorVert" val="t"/>
                            <dgm:param type="parTxLTRAlign" val="l"/>
                            <dgm:param type="parTxRTLAlign" val="r"/>
                          </dgm:alg>
                        </dgm:if>
                        <dgm:else name="Name196">
                          <dgm:alg type="tx">
                            <dgm:param type="txAnchorVert" val="t"/>
                            <dgm:param type="parTxLTRAlign" val="l"/>
                            <dgm:param type="parTxRTLAlign" val="l"/>
                          </dgm:alg>
                        </dgm:else>
                      </dgm:choose>
                    </dgm:if>
                    <dgm:else name="Name197">
                      <dgm:choose name="Name198">
                        <dgm:if name="Name199" axis="root des" ptType="all node" func="maxDepth" op="gt" val="1">
                          <dgm:alg type="tx">
                            <dgm:param type="txAnchorVert" val="b"/>
                            <dgm:param type="txAnchorVertCh" val="b"/>
                            <dgm:param type="parTxLTRAlign" val="l"/>
                            <dgm:param type="parTxRTLAlign" val="r"/>
                          </dgm:alg>
                        </dgm:if>
                        <dgm:else name="Name200">
                          <dgm:alg type="tx">
                            <dgm:param type="txAnchorVert" val="b"/>
                            <dgm:param type="parTxLTRAlign" val="r"/>
                            <dgm:param type="parTxRTLAlign" val="r"/>
                          </dgm:alg>
                        </dgm:else>
                      </dgm:choose>
                    </dgm:else>
                  </dgm:choose>
                  <dgm:shape xmlns:r="http://schemas.openxmlformats.org/officeDocument/2006/relationships" type="rect" r:blip="">
                    <dgm:adjLst/>
                  </dgm:shape>
                  <dgm:presOf axis="desOrSelf" ptType="node"/>
                  <dgm:choose name="Name201">
                    <dgm:if name="Name202" func="var" arg="dir" op="equ" val="norm">
                      <dgm:constrLst>
                        <dgm:constr type="rMarg"/>
                        <dgm:constr type="tMarg"/>
                        <dgm:constr type="bMarg"/>
                      </dgm:constrLst>
                    </dgm:if>
                    <dgm:else name="Name203">
                      <dgm:constrLst>
                        <dgm:constr type="lMarg"/>
                        <dgm:constr type="tMarg"/>
                        <dgm:constr type="bMarg"/>
                      </dgm:constrLst>
                    </dgm:else>
                  </dgm:choose>
                  <dgm:ruleLst>
                    <dgm:rule type="primFontSz" val="5" fact="NaN" max="NaN"/>
                  </dgm:ruleLst>
                </dgm:layoutNode>
              </dgm:forEach>
            </dgm:layoutNode>
          </dgm:else>
        </dgm:choose>
      </dgm:if>
      <dgm:else name="Name204"/>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A7F3E-CDF2-4FBF-88D6-A4B857BC4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2479</Words>
  <Characters>14132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16578</CharactersWithSpaces>
  <SharedDoc>false</SharedDoc>
  <HLinks>
    <vt:vector size="6" baseType="variant">
      <vt:variant>
        <vt:i4>8192098</vt:i4>
      </vt:variant>
      <vt:variant>
        <vt:i4>0</vt:i4>
      </vt:variant>
      <vt:variant>
        <vt:i4>0</vt:i4>
      </vt:variant>
      <vt:variant>
        <vt:i4>5</vt:i4>
      </vt:variant>
      <vt:variant>
        <vt:lpwstr>http://www.google.com/dictionary?source=translation&amp;hl=en&amp;q=&amp;langpair=ar|en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Lokman</dc:creator>
  <cp:lastModifiedBy>ahali</cp:lastModifiedBy>
  <cp:revision>2</cp:revision>
  <dcterms:created xsi:type="dcterms:W3CDTF">2011-01-17T07:50:00Z</dcterms:created>
  <dcterms:modified xsi:type="dcterms:W3CDTF">2011-01-17T07:50:00Z</dcterms:modified>
</cp:coreProperties>
</file>